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2B5" w:rsidRPr="007B5EFB" w:rsidRDefault="008D6DB5" w:rsidP="005A22B5">
      <w:pPr>
        <w:tabs>
          <w:tab w:val="right" w:pos="10080"/>
        </w:tabs>
        <w:snapToGrid w:val="0"/>
        <w:spacing w:after="0"/>
        <w:rPr>
          <w:rFonts w:cs="Arial"/>
          <w:b/>
          <w:sz w:val="24"/>
          <w:szCs w:val="24"/>
        </w:rPr>
      </w:pPr>
      <w:r w:rsidRPr="007B5EFB">
        <w:rPr>
          <w:rFonts w:cs="Arial"/>
          <w:b/>
          <w:sz w:val="24"/>
          <w:szCs w:val="24"/>
        </w:rPr>
        <w:t xml:space="preserve">3GPP TSG </w:t>
      </w:r>
      <w:r w:rsidR="00200195">
        <w:rPr>
          <w:rFonts w:cs="Arial"/>
          <w:b/>
          <w:color w:val="000000" w:themeColor="text1"/>
          <w:sz w:val="24"/>
          <w:szCs w:val="24"/>
        </w:rPr>
        <w:t>RAN</w:t>
      </w:r>
      <w:r w:rsidRPr="007B5EFB">
        <w:rPr>
          <w:rFonts w:cs="Arial"/>
          <w:b/>
          <w:color w:val="000000" w:themeColor="text1"/>
          <w:sz w:val="24"/>
          <w:szCs w:val="24"/>
        </w:rPr>
        <w:t>#</w:t>
      </w:r>
      <w:r w:rsidR="00200195">
        <w:rPr>
          <w:rFonts w:cs="Arial"/>
          <w:b/>
          <w:color w:val="000000" w:themeColor="text1"/>
          <w:sz w:val="24"/>
          <w:szCs w:val="24"/>
        </w:rPr>
        <w:t>73</w:t>
      </w:r>
      <w:r w:rsidR="007572CF" w:rsidRPr="007B5EFB">
        <w:rPr>
          <w:rFonts w:cs="Arial"/>
          <w:b/>
          <w:sz w:val="24"/>
          <w:szCs w:val="24"/>
        </w:rPr>
        <w:tab/>
      </w:r>
      <w:r w:rsidR="00200195">
        <w:rPr>
          <w:rFonts w:cs="Arial"/>
          <w:b/>
          <w:sz w:val="24"/>
          <w:szCs w:val="24"/>
        </w:rPr>
        <w:t>RP</w:t>
      </w:r>
      <w:r w:rsidR="00B7707E">
        <w:rPr>
          <w:rFonts w:cs="Arial"/>
          <w:b/>
          <w:sz w:val="24"/>
          <w:szCs w:val="24"/>
        </w:rPr>
        <w:t>-</w:t>
      </w:r>
      <w:r w:rsidR="00200195">
        <w:rPr>
          <w:rFonts w:cs="Arial"/>
          <w:b/>
          <w:sz w:val="24"/>
          <w:szCs w:val="24"/>
        </w:rPr>
        <w:t>16</w:t>
      </w:r>
      <w:r w:rsidR="00717CD0">
        <w:rPr>
          <w:rFonts w:cs="Arial"/>
          <w:b/>
          <w:sz w:val="24"/>
          <w:szCs w:val="24"/>
        </w:rPr>
        <w:t>1737</w:t>
      </w:r>
      <w:r w:rsidR="00361A82">
        <w:rPr>
          <w:rFonts w:cs="Arial"/>
          <w:b/>
          <w:sz w:val="24"/>
          <w:szCs w:val="24"/>
        </w:rPr>
        <w:fldChar w:fldCharType="begin"/>
      </w:r>
      <w:r w:rsidR="007567E9">
        <w:rPr>
          <w:rFonts w:cs="Arial"/>
          <w:b/>
          <w:sz w:val="24"/>
          <w:szCs w:val="24"/>
        </w:rPr>
        <w:instrText xml:space="preserve"> DOCVARIABLE  "TDoc Number"  \* MERGEFORMAT </w:instrText>
      </w:r>
      <w:r w:rsidR="00361A82">
        <w:rPr>
          <w:rFonts w:cs="Arial"/>
          <w:b/>
          <w:sz w:val="24"/>
          <w:szCs w:val="24"/>
        </w:rPr>
        <w:fldChar w:fldCharType="end"/>
      </w:r>
    </w:p>
    <w:p w:rsidR="005A22B5" w:rsidRPr="007B5EFB" w:rsidRDefault="00200195" w:rsidP="005A22B5">
      <w:pPr>
        <w:tabs>
          <w:tab w:val="right" w:pos="10080"/>
        </w:tabs>
        <w:snapToGrid w:val="0"/>
        <w:spacing w:after="0"/>
        <w:rPr>
          <w:rFonts w:cs="Arial"/>
          <w:b/>
          <w:sz w:val="24"/>
          <w:szCs w:val="24"/>
        </w:rPr>
      </w:pPr>
      <w:r>
        <w:rPr>
          <w:rFonts w:cs="Arial"/>
          <w:sz w:val="24"/>
          <w:szCs w:val="24"/>
        </w:rPr>
        <w:t>September</w:t>
      </w:r>
      <w:r w:rsidR="00230EB7" w:rsidRPr="007B5EFB">
        <w:rPr>
          <w:rFonts w:cs="Arial"/>
          <w:sz w:val="24"/>
          <w:szCs w:val="24"/>
        </w:rPr>
        <w:t xml:space="preserve"> </w:t>
      </w:r>
      <w:r>
        <w:rPr>
          <w:rFonts w:cs="Arial"/>
          <w:sz w:val="24"/>
          <w:szCs w:val="24"/>
        </w:rPr>
        <w:t>19</w:t>
      </w:r>
      <w:r w:rsidR="00230EB7" w:rsidRPr="007B5EFB">
        <w:rPr>
          <w:rFonts w:cs="Arial"/>
          <w:sz w:val="24"/>
          <w:szCs w:val="24"/>
        </w:rPr>
        <w:t>-</w:t>
      </w:r>
      <w:r>
        <w:rPr>
          <w:rFonts w:cs="Arial"/>
          <w:sz w:val="24"/>
          <w:szCs w:val="24"/>
        </w:rPr>
        <w:t>22</w:t>
      </w:r>
      <w:r w:rsidR="00230EB7" w:rsidRPr="007B5EFB">
        <w:rPr>
          <w:rFonts w:cs="Arial"/>
          <w:sz w:val="24"/>
          <w:szCs w:val="24"/>
        </w:rPr>
        <w:t xml:space="preserve">, </w:t>
      </w:r>
      <w:r>
        <w:rPr>
          <w:rFonts w:cs="Arial"/>
          <w:sz w:val="24"/>
          <w:szCs w:val="24"/>
        </w:rPr>
        <w:t>2016</w:t>
      </w:r>
      <w:r w:rsidR="005A22B5" w:rsidRPr="007B5EFB">
        <w:rPr>
          <w:rFonts w:cs="Arial"/>
          <w:b/>
          <w:sz w:val="24"/>
          <w:szCs w:val="24"/>
        </w:rPr>
        <w:tab/>
      </w:r>
    </w:p>
    <w:p w:rsidR="005A22B5" w:rsidRPr="007B5EFB" w:rsidRDefault="00200195" w:rsidP="005A22B5">
      <w:pPr>
        <w:tabs>
          <w:tab w:val="right" w:pos="10080"/>
        </w:tabs>
        <w:snapToGrid w:val="0"/>
        <w:spacing w:after="0"/>
        <w:rPr>
          <w:rFonts w:cs="Arial"/>
          <w:b/>
          <w:sz w:val="24"/>
          <w:szCs w:val="24"/>
        </w:rPr>
      </w:pPr>
      <w:r>
        <w:rPr>
          <w:rFonts w:cs="Arial"/>
          <w:sz w:val="24"/>
          <w:szCs w:val="24"/>
        </w:rPr>
        <w:t xml:space="preserve">New </w:t>
      </w:r>
      <w:r w:rsidR="003E6EE7">
        <w:rPr>
          <w:rFonts w:cs="Arial"/>
          <w:sz w:val="24"/>
          <w:szCs w:val="24"/>
        </w:rPr>
        <w:t>Orleans</w:t>
      </w:r>
      <w:r w:rsidR="00230EB7" w:rsidRPr="007B5EFB">
        <w:rPr>
          <w:rFonts w:cs="Arial"/>
          <w:sz w:val="24"/>
          <w:szCs w:val="24"/>
        </w:rPr>
        <w:t xml:space="preserve">, </w:t>
      </w:r>
      <w:r>
        <w:rPr>
          <w:rFonts w:cs="Arial"/>
          <w:sz w:val="24"/>
          <w:szCs w:val="24"/>
        </w:rPr>
        <w:t>USA</w:t>
      </w:r>
      <w:r w:rsidR="00230EB7">
        <w:rPr>
          <w:rFonts w:cs="Arial"/>
          <w:sz w:val="24"/>
          <w:szCs w:val="24"/>
        </w:rPr>
        <w:tab/>
      </w:r>
    </w:p>
    <w:p w:rsidR="00230EB7" w:rsidRDefault="00230EB7" w:rsidP="005A22B5">
      <w:pPr>
        <w:tabs>
          <w:tab w:val="right" w:pos="10080"/>
        </w:tabs>
        <w:snapToGrid w:val="0"/>
        <w:spacing w:after="0"/>
        <w:rPr>
          <w:rFonts w:cs="Arial"/>
          <w:b/>
          <w:sz w:val="24"/>
          <w:szCs w:val="24"/>
        </w:rPr>
      </w:pPr>
    </w:p>
    <w:p w:rsidR="008D6DB5" w:rsidRPr="007B5EFB" w:rsidRDefault="005A22B5" w:rsidP="005A22B5">
      <w:pPr>
        <w:tabs>
          <w:tab w:val="right" w:pos="10080"/>
        </w:tabs>
        <w:snapToGrid w:val="0"/>
        <w:spacing w:after="0"/>
        <w:rPr>
          <w:rFonts w:cs="Arial"/>
          <w:b/>
          <w:sz w:val="24"/>
          <w:szCs w:val="24"/>
        </w:rPr>
      </w:pPr>
      <w:r w:rsidRPr="007B5EFB">
        <w:rPr>
          <w:rFonts w:cs="Arial"/>
          <w:b/>
          <w:sz w:val="24"/>
          <w:szCs w:val="24"/>
        </w:rPr>
        <w:t>Source: MediaTek</w:t>
      </w:r>
      <w:r w:rsidRPr="007B5EFB">
        <w:rPr>
          <w:rFonts w:cs="Arial"/>
          <w:b/>
          <w:sz w:val="24"/>
          <w:szCs w:val="24"/>
        </w:rPr>
        <w:tab/>
      </w:r>
    </w:p>
    <w:p w:rsidR="005A22B5" w:rsidRPr="007B5EFB" w:rsidRDefault="003E6EE7" w:rsidP="005A22B5">
      <w:pPr>
        <w:tabs>
          <w:tab w:val="right" w:pos="10080"/>
        </w:tabs>
        <w:snapToGrid w:val="0"/>
        <w:spacing w:after="0"/>
        <w:rPr>
          <w:rFonts w:cs="Arial"/>
          <w:b/>
          <w:sz w:val="24"/>
          <w:szCs w:val="24"/>
        </w:rPr>
      </w:pPr>
      <w:r w:rsidRPr="007B5EFB">
        <w:rPr>
          <w:rFonts w:cs="Arial"/>
          <w:b/>
          <w:sz w:val="24"/>
          <w:szCs w:val="24"/>
        </w:rPr>
        <w:t>Agenda Item</w:t>
      </w:r>
      <w:r>
        <w:rPr>
          <w:rFonts w:cs="Arial" w:hint="eastAsia"/>
          <w:b/>
          <w:sz w:val="24"/>
          <w:szCs w:val="24"/>
          <w:lang w:eastAsia="zh-TW"/>
        </w:rPr>
        <w:t>:</w:t>
      </w:r>
      <w:r w:rsidRPr="007B5EFB">
        <w:rPr>
          <w:rFonts w:cs="Arial"/>
          <w:b/>
          <w:sz w:val="24"/>
          <w:szCs w:val="24"/>
        </w:rPr>
        <w:t xml:space="preserve"> </w:t>
      </w:r>
      <w:r>
        <w:rPr>
          <w:rFonts w:cs="Arial"/>
          <w:b/>
          <w:sz w:val="24"/>
          <w:szCs w:val="24"/>
        </w:rPr>
        <w:t>9</w:t>
      </w:r>
    </w:p>
    <w:p w:rsidR="005A22B5" w:rsidRPr="007B5EFB" w:rsidRDefault="005A22B5" w:rsidP="007B5EFB">
      <w:pPr>
        <w:pBdr>
          <w:bottom w:val="single" w:sz="4" w:space="1" w:color="auto"/>
        </w:pBdr>
      </w:pPr>
      <w:r w:rsidRPr="007B5EFB">
        <w:rPr>
          <w:rFonts w:cs="Arial"/>
          <w:sz w:val="24"/>
          <w:szCs w:val="24"/>
        </w:rPr>
        <w:t>Document for: discussio</w:t>
      </w:r>
      <w:r w:rsidR="00D14CB2">
        <w:rPr>
          <w:rFonts w:cs="Arial"/>
          <w:sz w:val="24"/>
          <w:szCs w:val="24"/>
        </w:rPr>
        <w:t>n</w:t>
      </w:r>
    </w:p>
    <w:bookmarkStart w:id="0" w:name="DocumentFor"/>
    <w:bookmarkEnd w:id="0"/>
    <w:p w:rsidR="004B2DA3" w:rsidRDefault="00361A82" w:rsidP="00234814">
      <w:pPr>
        <w:pStyle w:val="a4"/>
      </w:pPr>
      <w:sdt>
        <w:sdtPr>
          <w:alias w:val="Title"/>
          <w:id w:val="186512067"/>
          <w:placeholder>
            <w:docPart w:val="0FFFC890A44E4244BAA9E5D07B78BC1F"/>
          </w:placeholder>
          <w:dataBinding w:prefixMappings="xmlns:ns0='http://purl.org/dc/elements/1.1/' xmlns:ns1='http://schemas.openxmlformats.org/package/2006/metadata/core-properties' " w:xpath="/ns1:coreProperties[1]/ns0:title[1]" w:storeItemID="{6C3C8BC8-F283-45AE-878A-BAB7291924A1}"/>
          <w:text/>
        </w:sdtPr>
        <w:sdtContent>
          <w:r w:rsidR="00200195">
            <w:t>NextGen/NR Migration and UE Capabilities</w:t>
          </w:r>
        </w:sdtContent>
      </w:sdt>
    </w:p>
    <w:p w:rsidR="00713691" w:rsidRDefault="00713691" w:rsidP="00713691">
      <w:pPr>
        <w:pStyle w:val="1"/>
      </w:pPr>
      <w:r>
        <w:t>Introduction</w:t>
      </w:r>
    </w:p>
    <w:p w:rsidR="00713691" w:rsidRDefault="00200195" w:rsidP="00713691">
      <w:pPr>
        <w:pStyle w:val="Body"/>
      </w:pPr>
      <w:r>
        <w:t xml:space="preserve">A major step was reached at the last plenary cycle that paves the way to making the next generation </w:t>
      </w:r>
      <w:r w:rsidR="00AC2460">
        <w:t xml:space="preserve">3GPP system </w:t>
      </w:r>
      <w:r>
        <w:t>commercial in 2020</w:t>
      </w:r>
      <w:r w:rsidR="00571123">
        <w:t xml:space="preserve">, an important </w:t>
      </w:r>
      <w:r w:rsidR="00AC2460">
        <w:t xml:space="preserve">milestone towards its </w:t>
      </w:r>
      <w:r w:rsidR="005B6EC7">
        <w:t xml:space="preserve">future </w:t>
      </w:r>
      <w:r w:rsidR="00AC2460">
        <w:t>global adoption</w:t>
      </w:r>
      <w:r w:rsidR="0084597C">
        <w:t xml:space="preserve"> </w:t>
      </w:r>
      <w:r w:rsidR="00361A82">
        <w:fldChar w:fldCharType="begin"/>
      </w:r>
      <w:r w:rsidR="0084597C">
        <w:instrText xml:space="preserve"> REF _Ref461163584 \r \h </w:instrText>
      </w:r>
      <w:r w:rsidR="00361A82">
        <w:fldChar w:fldCharType="separate"/>
      </w:r>
      <w:r w:rsidR="0084597C">
        <w:t>[1]</w:t>
      </w:r>
      <w:r w:rsidR="00361A82">
        <w:fldChar w:fldCharType="end"/>
      </w:r>
      <w:r w:rsidR="00361A82">
        <w:fldChar w:fldCharType="begin"/>
      </w:r>
      <w:r w:rsidR="0084597C">
        <w:instrText xml:space="preserve"> REF _Ref461163585 \r \h </w:instrText>
      </w:r>
      <w:r w:rsidR="00361A82">
        <w:fldChar w:fldCharType="separate"/>
      </w:r>
      <w:r w:rsidR="0084597C">
        <w:t>[2]</w:t>
      </w:r>
      <w:r w:rsidR="00361A82">
        <w:fldChar w:fldCharType="end"/>
      </w:r>
      <w:r w:rsidR="00361A82">
        <w:fldChar w:fldCharType="begin"/>
      </w:r>
      <w:r w:rsidR="0084597C">
        <w:instrText xml:space="preserve"> REF _Ref461163587 \r \h </w:instrText>
      </w:r>
      <w:r w:rsidR="00361A82">
        <w:fldChar w:fldCharType="separate"/>
      </w:r>
      <w:r w:rsidR="0084597C">
        <w:t>[3]</w:t>
      </w:r>
      <w:r w:rsidR="00361A82">
        <w:fldChar w:fldCharType="end"/>
      </w:r>
      <w:r w:rsidR="0084597C">
        <w:t>.</w:t>
      </w:r>
    </w:p>
    <w:p w:rsidR="00200195" w:rsidRDefault="00E037B3" w:rsidP="00713691">
      <w:pPr>
        <w:pStyle w:val="Body"/>
      </w:pPr>
      <w:r>
        <w:t xml:space="preserve">As part of the endorsed NextGen/NR </w:t>
      </w:r>
      <w:r w:rsidR="00AC2460">
        <w:t xml:space="preserve">combined </w:t>
      </w:r>
      <w:r>
        <w:t>timeline</w:t>
      </w:r>
      <w:r w:rsidR="00AC2460">
        <w:t xml:space="preserve"> </w:t>
      </w:r>
      <w:r w:rsidR="00361A82">
        <w:fldChar w:fldCharType="begin"/>
      </w:r>
      <w:r w:rsidR="00AC2460">
        <w:instrText xml:space="preserve"> REF _Ref461163903 \r \h </w:instrText>
      </w:r>
      <w:r w:rsidR="00361A82">
        <w:fldChar w:fldCharType="separate"/>
      </w:r>
      <w:r w:rsidR="00AC2460">
        <w:t>[3]</w:t>
      </w:r>
      <w:r w:rsidR="00361A82">
        <w:fldChar w:fldCharType="end"/>
      </w:r>
      <w:r w:rsidR="00AC2460">
        <w:t xml:space="preserve"> </w:t>
      </w:r>
      <w:r>
        <w:t>a</w:t>
      </w:r>
      <w:r w:rsidR="00AC2460">
        <w:t xml:space="preserve">n SA2 </w:t>
      </w:r>
      <w:r w:rsidR="00200195">
        <w:t xml:space="preserve">report on migration </w:t>
      </w:r>
      <w:r w:rsidR="00AC2460">
        <w:t>as well as report</w:t>
      </w:r>
      <w:r w:rsidR="00017BDE">
        <w:t>s</w:t>
      </w:r>
      <w:r w:rsidR="00AC2460">
        <w:t xml:space="preserve"> from RAN1/RAN2/RAN3/RAN4/SA2 on forward compatibility of NSA and SA NR are expected no later than TSG#75/March 2017 when normative work is poised to start in RAN groups (whilst SA2 normative work is to start at TSG#74/December 2016)</w:t>
      </w:r>
      <w:r w:rsidR="00200195">
        <w:t>.</w:t>
      </w:r>
    </w:p>
    <w:p w:rsidR="00017BDE" w:rsidRDefault="00200195" w:rsidP="00713691">
      <w:pPr>
        <w:pStyle w:val="Body"/>
      </w:pPr>
      <w:r>
        <w:t xml:space="preserve">Deployment scenarios </w:t>
      </w:r>
      <w:r w:rsidR="00AC2460">
        <w:t xml:space="preserve">documented in </w:t>
      </w:r>
      <w:r w:rsidR="00361A82">
        <w:fldChar w:fldCharType="begin"/>
      </w:r>
      <w:r w:rsidR="00421A76">
        <w:instrText xml:space="preserve"> REF _Ref461165115 \r \h </w:instrText>
      </w:r>
      <w:r w:rsidR="00361A82">
        <w:fldChar w:fldCharType="separate"/>
      </w:r>
      <w:r w:rsidR="00421A76">
        <w:t>[4]</w:t>
      </w:r>
      <w:r w:rsidR="00361A82">
        <w:fldChar w:fldCharType="end"/>
      </w:r>
      <w:r w:rsidR="00421A76">
        <w:t xml:space="preserve"> were </w:t>
      </w:r>
      <w:r w:rsidR="00017BDE">
        <w:t xml:space="preserve">eventually </w:t>
      </w:r>
      <w:r w:rsidR="00421A76">
        <w:t>narrowed down to</w:t>
      </w:r>
      <w:r w:rsidR="00017BDE">
        <w:t xml:space="preserve"> the following </w:t>
      </w:r>
      <w:r w:rsidR="00361A82">
        <w:fldChar w:fldCharType="begin"/>
      </w:r>
      <w:r w:rsidR="00017BDE">
        <w:instrText xml:space="preserve"> REF _Ref461165361 \r \h </w:instrText>
      </w:r>
      <w:r w:rsidR="00361A82">
        <w:fldChar w:fldCharType="separate"/>
      </w:r>
      <w:r w:rsidR="00017BDE">
        <w:t>[5]</w:t>
      </w:r>
      <w:r w:rsidR="00361A82">
        <w:fldChar w:fldCharType="end"/>
      </w:r>
      <w:r w:rsidR="00421A76">
        <w:t xml:space="preserve">: </w:t>
      </w:r>
    </w:p>
    <w:p w:rsidR="00200195" w:rsidRDefault="00421A76" w:rsidP="00017BDE">
      <w:pPr>
        <w:pStyle w:val="Body"/>
        <w:numPr>
          <w:ilvl w:val="0"/>
          <w:numId w:val="21"/>
        </w:numPr>
      </w:pPr>
      <w:r>
        <w:t>EPS3(a), NGS2, NGS4(a), NGS5, NGS7(a</w:t>
      </w:r>
      <w:r w:rsidR="00017BDE">
        <w:t>)</w:t>
      </w:r>
    </w:p>
    <w:p w:rsidR="00017BDE" w:rsidRDefault="00017BDE" w:rsidP="00017BDE">
      <w:pPr>
        <w:pStyle w:val="Body"/>
      </w:pPr>
      <w:r>
        <w:t>This contribution provides MediaTek’s current assumptions in terms of migration and UE capabilities in view of ongoing discussions in SA2</w:t>
      </w:r>
      <w:r w:rsidR="003C51A7">
        <w:rPr>
          <w:rStyle w:val="a8"/>
        </w:rPr>
        <w:footnoteReference w:id="1"/>
      </w:r>
      <w:r>
        <w:t xml:space="preserve"> and RAN groups. It does not take a view on the final recommended system architecture expected from SA2 at TSG#74 next December – however the proposal herein articulates around the assumption that a new NGCore (and corresponding NAS protocols) would be introduced.</w:t>
      </w:r>
    </w:p>
    <w:p w:rsidR="00713691" w:rsidRDefault="0091235D" w:rsidP="00713691">
      <w:pPr>
        <w:pStyle w:val="1"/>
      </w:pPr>
      <w:r>
        <w:t>Gradual migration</w:t>
      </w:r>
    </w:p>
    <w:p w:rsidR="00713691" w:rsidRDefault="005B6EC7" w:rsidP="00713691">
      <w:pPr>
        <w:pStyle w:val="Body"/>
      </w:pPr>
      <w:r>
        <w:t xml:space="preserve">As proposed in </w:t>
      </w:r>
      <w:r w:rsidR="00361A82">
        <w:fldChar w:fldCharType="begin"/>
      </w:r>
      <w:r>
        <w:instrText xml:space="preserve"> REF _Ref461168843 \r \h </w:instrText>
      </w:r>
      <w:r w:rsidR="00361A82">
        <w:fldChar w:fldCharType="separate"/>
      </w:r>
      <w:r>
        <w:t>[6]</w:t>
      </w:r>
      <w:r w:rsidR="00361A82">
        <w:fldChar w:fldCharType="end"/>
      </w:r>
      <w:r>
        <w:t xml:space="preserve"> and agreed in </w:t>
      </w:r>
      <w:r w:rsidR="00361A82">
        <w:fldChar w:fldCharType="begin"/>
      </w:r>
      <w:r>
        <w:instrText xml:space="preserve"> REF _Ref461166845 \r \h </w:instrText>
      </w:r>
      <w:r w:rsidR="00361A82">
        <w:fldChar w:fldCharType="separate"/>
      </w:r>
      <w:r>
        <w:t>[8]</w:t>
      </w:r>
      <w:r w:rsidR="00361A82">
        <w:fldChar w:fldCharType="end"/>
      </w:r>
      <w:r>
        <w:t xml:space="preserve"> the overall system design of NextGen must enable a gradual migration from EPS towards NGS, characterized by contemporary EPS and NGS for an extended period. This assumption has direct implications in terms of interworking </w:t>
      </w:r>
      <w:r w:rsidR="00692D62">
        <w:t>and service continuity in particular</w:t>
      </w:r>
      <w:r>
        <w:t xml:space="preserve">. Unlike a direct migration, a gradual migration imposes a system design that </w:t>
      </w:r>
      <w:r w:rsidR="00692D62">
        <w:t>supports</w:t>
      </w:r>
      <w:r>
        <w:t xml:space="preserve"> interworking </w:t>
      </w:r>
      <w:r w:rsidR="00692D62">
        <w:t xml:space="preserve">and service continuity </w:t>
      </w:r>
      <w:r>
        <w:t xml:space="preserve">between </w:t>
      </w:r>
      <w:r w:rsidR="00692D62">
        <w:t xml:space="preserve">the two systems, though these may not always be required or enabled depending on deployment scenarios and use cases. </w:t>
      </w:r>
    </w:p>
    <w:p w:rsidR="00692D62" w:rsidRDefault="00692D62" w:rsidP="00713691">
      <w:pPr>
        <w:pStyle w:val="Body"/>
      </w:pPr>
      <w:r w:rsidRPr="00692D62">
        <w:rPr>
          <w:b/>
        </w:rPr>
        <w:t>Proposal 1:</w:t>
      </w:r>
      <w:r>
        <w:t xml:space="preserve"> Under the assumption NGS would be introduced, interworking and service continuity should be specified between NGS and EPS.</w:t>
      </w:r>
    </w:p>
    <w:p w:rsidR="000666B4" w:rsidRPr="000666B4" w:rsidRDefault="000666B4" w:rsidP="00713691">
      <w:pPr>
        <w:pStyle w:val="Body"/>
      </w:pPr>
      <w:r w:rsidRPr="000666B4">
        <w:lastRenderedPageBreak/>
        <w:t xml:space="preserve">Inter-RAT </w:t>
      </w:r>
      <w:r>
        <w:t>interworking scenarios are depicted below:</w:t>
      </w:r>
    </w:p>
    <w:tbl>
      <w:tblPr>
        <w:tblStyle w:val="af1"/>
        <w:tblW w:w="0" w:type="auto"/>
        <w:tblInd w:w="450" w:type="dxa"/>
        <w:tblLook w:val="04A0"/>
      </w:tblPr>
      <w:tblGrid>
        <w:gridCol w:w="2461"/>
        <w:gridCol w:w="2462"/>
        <w:gridCol w:w="2461"/>
        <w:gridCol w:w="2462"/>
      </w:tblGrid>
      <w:tr w:rsidR="009261FA" w:rsidTr="009261FA">
        <w:tc>
          <w:tcPr>
            <w:tcW w:w="2461" w:type="dxa"/>
            <w:tcBorders>
              <w:top w:val="single" w:sz="4" w:space="0" w:color="000000" w:themeColor="text1"/>
              <w:left w:val="nil"/>
              <w:bottom w:val="single" w:sz="4" w:space="0" w:color="000000" w:themeColor="text1"/>
              <w:right w:val="nil"/>
            </w:tcBorders>
            <w:shd w:val="clear" w:color="auto" w:fill="F2F2F2" w:themeFill="background1" w:themeFillShade="F2"/>
          </w:tcPr>
          <w:p w:rsidR="009261FA" w:rsidRPr="009261FA" w:rsidRDefault="009261FA" w:rsidP="00E7638A">
            <w:pPr>
              <w:pStyle w:val="Body"/>
              <w:ind w:left="0"/>
              <w:jc w:val="center"/>
              <w:rPr>
                <w:rFonts w:ascii="Calibri Light" w:hAnsi="Calibri Light"/>
              </w:rPr>
            </w:pPr>
            <w:r w:rsidRPr="009261FA">
              <w:rPr>
                <w:rFonts w:ascii="Calibri Light" w:hAnsi="Calibri Light"/>
              </w:rPr>
              <w:t>From / To</w:t>
            </w:r>
          </w:p>
        </w:tc>
        <w:tc>
          <w:tcPr>
            <w:tcW w:w="2462" w:type="dxa"/>
            <w:tcBorders>
              <w:top w:val="single" w:sz="4" w:space="0" w:color="000000" w:themeColor="text1"/>
              <w:left w:val="nil"/>
              <w:bottom w:val="single" w:sz="4" w:space="0" w:color="000000" w:themeColor="text1"/>
              <w:right w:val="single" w:sz="4" w:space="0" w:color="FFFFFF" w:themeColor="background1"/>
            </w:tcBorders>
            <w:shd w:val="clear" w:color="auto" w:fill="F2F2F2" w:themeFill="background1" w:themeFillShade="F2"/>
          </w:tcPr>
          <w:p w:rsidR="009261FA" w:rsidRPr="009261FA" w:rsidRDefault="009261FA" w:rsidP="00E7638A">
            <w:pPr>
              <w:pStyle w:val="Body"/>
              <w:ind w:left="0"/>
              <w:jc w:val="center"/>
              <w:rPr>
                <w:rFonts w:ascii="Calibri Light" w:hAnsi="Calibri Light"/>
              </w:rPr>
            </w:pPr>
            <w:r w:rsidRPr="009261FA">
              <w:rPr>
                <w:rFonts w:ascii="Calibri Light" w:hAnsi="Calibri Light"/>
              </w:rPr>
              <w:t>EPS3</w:t>
            </w:r>
          </w:p>
        </w:tc>
        <w:tc>
          <w:tcPr>
            <w:tcW w:w="2461"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shd w:val="clear" w:color="auto" w:fill="F2F2F2" w:themeFill="background1" w:themeFillShade="F2"/>
          </w:tcPr>
          <w:p w:rsidR="009261FA" w:rsidRPr="009261FA" w:rsidRDefault="009261FA" w:rsidP="00E7638A">
            <w:pPr>
              <w:pStyle w:val="Body"/>
              <w:ind w:left="0"/>
              <w:jc w:val="center"/>
              <w:rPr>
                <w:rFonts w:ascii="Calibri Light" w:hAnsi="Calibri Light"/>
              </w:rPr>
            </w:pPr>
            <w:r>
              <w:rPr>
                <w:rFonts w:ascii="Calibri Light" w:hAnsi="Calibri Light"/>
              </w:rPr>
              <w:t>NGS2/NGS4</w:t>
            </w:r>
          </w:p>
        </w:tc>
        <w:tc>
          <w:tcPr>
            <w:tcW w:w="2462"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shd w:val="clear" w:color="auto" w:fill="F2F2F2" w:themeFill="background1" w:themeFillShade="F2"/>
          </w:tcPr>
          <w:p w:rsidR="009261FA" w:rsidRPr="009261FA" w:rsidRDefault="009261FA" w:rsidP="009261FA">
            <w:pPr>
              <w:pStyle w:val="Body"/>
              <w:ind w:left="0"/>
              <w:jc w:val="center"/>
              <w:rPr>
                <w:rFonts w:ascii="Calibri Light" w:hAnsi="Calibri Light"/>
              </w:rPr>
            </w:pPr>
            <w:r w:rsidRPr="009261FA">
              <w:rPr>
                <w:rFonts w:ascii="Calibri Light" w:hAnsi="Calibri Light"/>
              </w:rPr>
              <w:t>NGS5</w:t>
            </w:r>
            <w:r>
              <w:rPr>
                <w:rFonts w:ascii="Calibri Light" w:hAnsi="Calibri Light"/>
              </w:rPr>
              <w:t>/</w:t>
            </w:r>
            <w:r w:rsidRPr="009261FA">
              <w:rPr>
                <w:rFonts w:ascii="Calibri Light" w:hAnsi="Calibri Light"/>
              </w:rPr>
              <w:t>NGS7</w:t>
            </w:r>
          </w:p>
        </w:tc>
      </w:tr>
      <w:tr w:rsidR="00E7638A" w:rsidTr="009261FA">
        <w:trPr>
          <w:trHeight w:val="58"/>
        </w:trPr>
        <w:tc>
          <w:tcPr>
            <w:tcW w:w="2461" w:type="dxa"/>
            <w:tcBorders>
              <w:top w:val="single" w:sz="4" w:space="0" w:color="000000" w:themeColor="text1"/>
              <w:left w:val="nil"/>
              <w:bottom w:val="nil"/>
              <w:right w:val="nil"/>
            </w:tcBorders>
            <w:shd w:val="clear" w:color="auto" w:fill="F2F2F2" w:themeFill="background1" w:themeFillShade="F2"/>
          </w:tcPr>
          <w:p w:rsidR="00E7638A" w:rsidRPr="009261FA" w:rsidRDefault="00E7638A" w:rsidP="00E7638A">
            <w:pPr>
              <w:pStyle w:val="Body"/>
              <w:ind w:left="0"/>
              <w:jc w:val="center"/>
              <w:rPr>
                <w:rFonts w:ascii="Calibri Light" w:hAnsi="Calibri Light"/>
              </w:rPr>
            </w:pPr>
            <w:r w:rsidRPr="009261FA">
              <w:rPr>
                <w:rFonts w:ascii="Calibri Light" w:hAnsi="Calibri Light"/>
              </w:rPr>
              <w:t>EPS3</w:t>
            </w:r>
          </w:p>
        </w:tc>
        <w:tc>
          <w:tcPr>
            <w:tcW w:w="2462" w:type="dxa"/>
            <w:tcBorders>
              <w:top w:val="single" w:sz="4" w:space="0" w:color="000000" w:themeColor="text1"/>
              <w:left w:val="nil"/>
              <w:bottom w:val="nil"/>
              <w:right w:val="nil"/>
            </w:tcBorders>
          </w:tcPr>
          <w:p w:rsidR="00E7638A" w:rsidRPr="009261FA" w:rsidRDefault="00E7638A" w:rsidP="000666B4">
            <w:pPr>
              <w:pStyle w:val="Body"/>
              <w:ind w:left="0"/>
              <w:jc w:val="center"/>
              <w:rPr>
                <w:rFonts w:ascii="Calibri Light" w:hAnsi="Calibri Light"/>
                <w:color w:val="A6A6A6" w:themeColor="background1" w:themeShade="A6"/>
              </w:rPr>
            </w:pPr>
            <w:r w:rsidRPr="009261FA">
              <w:rPr>
                <w:rFonts w:ascii="Calibri Light" w:hAnsi="Calibri Light"/>
                <w:color w:val="A6A6A6" w:themeColor="background1" w:themeShade="A6"/>
              </w:rPr>
              <w:t>LTE &gt; LTE</w:t>
            </w:r>
            <w:r w:rsidR="000666B4" w:rsidRPr="009261FA">
              <w:rPr>
                <w:rFonts w:ascii="Calibri Light" w:hAnsi="Calibri Light"/>
                <w:color w:val="A6A6A6" w:themeColor="background1" w:themeShade="A6"/>
              </w:rPr>
              <w:t xml:space="preserve"> (leg.)</w:t>
            </w:r>
          </w:p>
        </w:tc>
        <w:tc>
          <w:tcPr>
            <w:tcW w:w="2461" w:type="dxa"/>
            <w:tcBorders>
              <w:top w:val="single" w:sz="4" w:space="0" w:color="000000" w:themeColor="text1"/>
              <w:left w:val="nil"/>
              <w:bottom w:val="nil"/>
              <w:right w:val="nil"/>
            </w:tcBorders>
          </w:tcPr>
          <w:p w:rsidR="00E7638A" w:rsidRPr="009261FA" w:rsidRDefault="00E7638A" w:rsidP="00E7638A">
            <w:pPr>
              <w:pStyle w:val="Body"/>
              <w:ind w:left="0"/>
              <w:jc w:val="center"/>
              <w:rPr>
                <w:rFonts w:ascii="Calibri Light" w:hAnsi="Calibri Light"/>
              </w:rPr>
            </w:pPr>
            <w:r w:rsidRPr="009261FA">
              <w:rPr>
                <w:rFonts w:ascii="Calibri Light" w:hAnsi="Calibri Light"/>
              </w:rPr>
              <w:t>LTE &gt; NR</w:t>
            </w:r>
          </w:p>
        </w:tc>
        <w:tc>
          <w:tcPr>
            <w:tcW w:w="2462" w:type="dxa"/>
            <w:tcBorders>
              <w:top w:val="single" w:sz="4" w:space="0" w:color="000000" w:themeColor="text1"/>
              <w:left w:val="nil"/>
              <w:bottom w:val="nil"/>
              <w:right w:val="nil"/>
            </w:tcBorders>
          </w:tcPr>
          <w:p w:rsidR="00E7638A" w:rsidRPr="009261FA" w:rsidRDefault="00E7638A" w:rsidP="00E7638A">
            <w:pPr>
              <w:pStyle w:val="Body"/>
              <w:ind w:left="0"/>
              <w:jc w:val="center"/>
              <w:rPr>
                <w:rFonts w:ascii="Calibri Light" w:hAnsi="Calibri Light"/>
              </w:rPr>
            </w:pPr>
            <w:r w:rsidRPr="009261FA">
              <w:rPr>
                <w:rFonts w:ascii="Calibri Light" w:hAnsi="Calibri Light"/>
              </w:rPr>
              <w:t>LTE &gt; eLTE</w:t>
            </w:r>
          </w:p>
        </w:tc>
      </w:tr>
      <w:tr w:rsidR="009261FA" w:rsidTr="009261FA">
        <w:trPr>
          <w:trHeight w:val="63"/>
        </w:trPr>
        <w:tc>
          <w:tcPr>
            <w:tcW w:w="2461" w:type="dxa"/>
            <w:tcBorders>
              <w:top w:val="nil"/>
              <w:left w:val="nil"/>
              <w:bottom w:val="nil"/>
              <w:right w:val="nil"/>
            </w:tcBorders>
            <w:shd w:val="clear" w:color="auto" w:fill="F2F2F2" w:themeFill="background1" w:themeFillShade="F2"/>
          </w:tcPr>
          <w:p w:rsidR="009261FA" w:rsidRPr="009261FA" w:rsidRDefault="009261FA" w:rsidP="00E7638A">
            <w:pPr>
              <w:pStyle w:val="Body"/>
              <w:ind w:left="0"/>
              <w:jc w:val="center"/>
              <w:rPr>
                <w:rFonts w:ascii="Calibri Light" w:hAnsi="Calibri Light"/>
              </w:rPr>
            </w:pPr>
            <w:r w:rsidRPr="009261FA">
              <w:rPr>
                <w:rFonts w:ascii="Calibri Light" w:hAnsi="Calibri Light"/>
              </w:rPr>
              <w:t>NGS2</w:t>
            </w:r>
            <w:r>
              <w:rPr>
                <w:rFonts w:ascii="Calibri Light" w:hAnsi="Calibri Light"/>
              </w:rPr>
              <w:t>/NGS4</w:t>
            </w:r>
          </w:p>
        </w:tc>
        <w:tc>
          <w:tcPr>
            <w:tcW w:w="2462" w:type="dxa"/>
            <w:tcBorders>
              <w:top w:val="nil"/>
              <w:left w:val="nil"/>
              <w:bottom w:val="nil"/>
              <w:right w:val="nil"/>
            </w:tcBorders>
            <w:vAlign w:val="center"/>
          </w:tcPr>
          <w:p w:rsidR="009261FA" w:rsidRPr="009261FA" w:rsidRDefault="009261FA" w:rsidP="00E7638A">
            <w:pPr>
              <w:pStyle w:val="Body"/>
              <w:ind w:left="0"/>
              <w:jc w:val="center"/>
              <w:rPr>
                <w:rFonts w:ascii="Calibri Light" w:hAnsi="Calibri Light"/>
              </w:rPr>
            </w:pPr>
            <w:r w:rsidRPr="009261FA">
              <w:rPr>
                <w:rFonts w:ascii="Calibri Light" w:hAnsi="Calibri Light"/>
              </w:rPr>
              <w:t>NR &gt; LTE</w:t>
            </w:r>
          </w:p>
        </w:tc>
        <w:tc>
          <w:tcPr>
            <w:tcW w:w="2461" w:type="dxa"/>
            <w:tcBorders>
              <w:top w:val="nil"/>
              <w:left w:val="nil"/>
              <w:bottom w:val="nil"/>
              <w:right w:val="nil"/>
            </w:tcBorders>
            <w:vAlign w:val="center"/>
          </w:tcPr>
          <w:p w:rsidR="009261FA" w:rsidRPr="009261FA" w:rsidRDefault="009261FA" w:rsidP="00E7638A">
            <w:pPr>
              <w:pStyle w:val="Body"/>
              <w:ind w:left="0"/>
              <w:jc w:val="center"/>
              <w:rPr>
                <w:rFonts w:ascii="Calibri Light" w:hAnsi="Calibri Light"/>
              </w:rPr>
            </w:pPr>
            <w:r w:rsidRPr="009261FA">
              <w:rPr>
                <w:rFonts w:ascii="Calibri Light" w:hAnsi="Calibri Light"/>
              </w:rPr>
              <w:t>NR &gt; NR</w:t>
            </w:r>
          </w:p>
        </w:tc>
        <w:tc>
          <w:tcPr>
            <w:tcW w:w="2462" w:type="dxa"/>
            <w:tcBorders>
              <w:top w:val="nil"/>
              <w:left w:val="nil"/>
              <w:bottom w:val="nil"/>
              <w:right w:val="nil"/>
            </w:tcBorders>
            <w:vAlign w:val="center"/>
          </w:tcPr>
          <w:p w:rsidR="009261FA" w:rsidRPr="009261FA" w:rsidRDefault="009261FA" w:rsidP="00E7638A">
            <w:pPr>
              <w:pStyle w:val="Body"/>
              <w:ind w:left="0"/>
              <w:jc w:val="center"/>
              <w:rPr>
                <w:rFonts w:ascii="Calibri Light" w:hAnsi="Calibri Light"/>
              </w:rPr>
            </w:pPr>
            <w:r w:rsidRPr="009261FA">
              <w:rPr>
                <w:rFonts w:ascii="Calibri Light" w:hAnsi="Calibri Light"/>
              </w:rPr>
              <w:t>NR &gt; eLTE</w:t>
            </w:r>
          </w:p>
        </w:tc>
      </w:tr>
      <w:tr w:rsidR="009261FA" w:rsidTr="009261FA">
        <w:trPr>
          <w:trHeight w:val="63"/>
        </w:trPr>
        <w:tc>
          <w:tcPr>
            <w:tcW w:w="2461" w:type="dxa"/>
            <w:tcBorders>
              <w:top w:val="nil"/>
              <w:left w:val="nil"/>
              <w:bottom w:val="single" w:sz="4" w:space="0" w:color="000000" w:themeColor="text1"/>
              <w:right w:val="nil"/>
            </w:tcBorders>
            <w:shd w:val="clear" w:color="auto" w:fill="F2F2F2" w:themeFill="background1" w:themeFillShade="F2"/>
          </w:tcPr>
          <w:p w:rsidR="009261FA" w:rsidRPr="009261FA" w:rsidRDefault="009261FA" w:rsidP="00E7638A">
            <w:pPr>
              <w:pStyle w:val="Body"/>
              <w:ind w:left="0"/>
              <w:jc w:val="center"/>
              <w:rPr>
                <w:rFonts w:ascii="Calibri Light" w:hAnsi="Calibri Light"/>
              </w:rPr>
            </w:pPr>
            <w:r w:rsidRPr="009261FA">
              <w:rPr>
                <w:rFonts w:ascii="Calibri Light" w:hAnsi="Calibri Light"/>
              </w:rPr>
              <w:t>NGS5</w:t>
            </w:r>
            <w:r>
              <w:rPr>
                <w:rFonts w:ascii="Calibri Light" w:hAnsi="Calibri Light"/>
              </w:rPr>
              <w:t>/NGS7</w:t>
            </w:r>
          </w:p>
        </w:tc>
        <w:tc>
          <w:tcPr>
            <w:tcW w:w="2462" w:type="dxa"/>
            <w:tcBorders>
              <w:top w:val="nil"/>
              <w:left w:val="nil"/>
              <w:bottom w:val="single" w:sz="4" w:space="0" w:color="000000" w:themeColor="text1"/>
              <w:right w:val="nil"/>
            </w:tcBorders>
            <w:vAlign w:val="center"/>
          </w:tcPr>
          <w:p w:rsidR="009261FA" w:rsidRPr="009261FA" w:rsidRDefault="009261FA" w:rsidP="00E7638A">
            <w:pPr>
              <w:pStyle w:val="Body"/>
              <w:ind w:left="0"/>
              <w:jc w:val="center"/>
              <w:rPr>
                <w:rFonts w:ascii="Calibri Light" w:hAnsi="Calibri Light"/>
              </w:rPr>
            </w:pPr>
            <w:r w:rsidRPr="009261FA">
              <w:rPr>
                <w:rFonts w:ascii="Calibri Light" w:hAnsi="Calibri Light"/>
              </w:rPr>
              <w:t>eLTE &gt; LTE</w:t>
            </w:r>
          </w:p>
        </w:tc>
        <w:tc>
          <w:tcPr>
            <w:tcW w:w="2461" w:type="dxa"/>
            <w:tcBorders>
              <w:top w:val="nil"/>
              <w:left w:val="nil"/>
              <w:bottom w:val="single" w:sz="4" w:space="0" w:color="000000" w:themeColor="text1"/>
              <w:right w:val="nil"/>
            </w:tcBorders>
            <w:vAlign w:val="center"/>
          </w:tcPr>
          <w:p w:rsidR="009261FA" w:rsidRPr="009261FA" w:rsidRDefault="009261FA" w:rsidP="00E7638A">
            <w:pPr>
              <w:pStyle w:val="Body"/>
              <w:ind w:left="0"/>
              <w:jc w:val="center"/>
              <w:rPr>
                <w:rFonts w:ascii="Calibri Light" w:hAnsi="Calibri Light"/>
              </w:rPr>
            </w:pPr>
            <w:r w:rsidRPr="009261FA">
              <w:rPr>
                <w:rFonts w:ascii="Calibri Light" w:hAnsi="Calibri Light"/>
              </w:rPr>
              <w:t>eLTE &gt; NR</w:t>
            </w:r>
          </w:p>
        </w:tc>
        <w:tc>
          <w:tcPr>
            <w:tcW w:w="2462" w:type="dxa"/>
            <w:tcBorders>
              <w:top w:val="nil"/>
              <w:left w:val="nil"/>
              <w:bottom w:val="single" w:sz="4" w:space="0" w:color="000000" w:themeColor="text1"/>
              <w:right w:val="nil"/>
            </w:tcBorders>
            <w:vAlign w:val="center"/>
          </w:tcPr>
          <w:p w:rsidR="009261FA" w:rsidRPr="009261FA" w:rsidRDefault="009261FA" w:rsidP="00E7638A">
            <w:pPr>
              <w:pStyle w:val="Body"/>
              <w:ind w:left="0"/>
              <w:jc w:val="center"/>
              <w:rPr>
                <w:rFonts w:ascii="Calibri Light" w:hAnsi="Calibri Light"/>
              </w:rPr>
            </w:pPr>
            <w:r w:rsidRPr="009261FA">
              <w:rPr>
                <w:rFonts w:ascii="Calibri Light" w:hAnsi="Calibri Light"/>
              </w:rPr>
              <w:t>eLTE &gt; eLTE</w:t>
            </w:r>
          </w:p>
        </w:tc>
      </w:tr>
      <w:tr w:rsidR="000666B4" w:rsidTr="00AD3377">
        <w:tc>
          <w:tcPr>
            <w:tcW w:w="9846" w:type="dxa"/>
            <w:gridSpan w:val="4"/>
            <w:tcBorders>
              <w:top w:val="single" w:sz="4" w:space="0" w:color="000000" w:themeColor="text1"/>
              <w:left w:val="nil"/>
              <w:bottom w:val="single" w:sz="4" w:space="0" w:color="000000" w:themeColor="text1"/>
              <w:right w:val="nil"/>
            </w:tcBorders>
            <w:shd w:val="clear" w:color="auto" w:fill="auto"/>
            <w:tcMar>
              <w:top w:w="57" w:type="dxa"/>
              <w:bottom w:w="57" w:type="dxa"/>
            </w:tcMar>
          </w:tcPr>
          <w:p w:rsidR="000666B4" w:rsidRPr="009261FA" w:rsidRDefault="000666B4" w:rsidP="009261FA">
            <w:pPr>
              <w:pStyle w:val="Body"/>
              <w:ind w:left="0"/>
              <w:jc w:val="left"/>
              <w:rPr>
                <w:rFonts w:ascii="Calibri Light" w:hAnsi="Calibri Light"/>
              </w:rPr>
            </w:pPr>
            <w:r w:rsidRPr="009261FA">
              <w:rPr>
                <w:rFonts w:ascii="Calibri Light" w:hAnsi="Calibri Light"/>
              </w:rPr>
              <w:t>NOTE: it is expected eLTE and LTE are equivalent in terms of mobility measurements and reporting that could allow to further simplify the above scenarios</w:t>
            </w:r>
            <w:r w:rsidR="009261FA" w:rsidRPr="009261FA">
              <w:rPr>
                <w:rFonts w:ascii="Calibri Light" w:hAnsi="Calibri Light"/>
              </w:rPr>
              <w:t xml:space="preserve"> into 3 scenarios (LTE&gt;NR,  NR&gt;LTE and NR&gt;NR)</w:t>
            </w:r>
          </w:p>
        </w:tc>
      </w:tr>
    </w:tbl>
    <w:p w:rsidR="00E7638A" w:rsidRPr="00E7638A" w:rsidRDefault="00E7638A" w:rsidP="00E7638A">
      <w:pPr>
        <w:pStyle w:val="af2"/>
        <w:jc w:val="center"/>
        <w:rPr>
          <w:b w:val="0"/>
          <w:color w:val="auto"/>
          <w:sz w:val="22"/>
        </w:rPr>
      </w:pPr>
      <w:r w:rsidRPr="00E7638A">
        <w:rPr>
          <w:color w:val="auto"/>
          <w:sz w:val="22"/>
        </w:rPr>
        <w:t xml:space="preserve">Table </w:t>
      </w:r>
      <w:r w:rsidR="00361A82" w:rsidRPr="00E7638A">
        <w:rPr>
          <w:color w:val="auto"/>
          <w:sz w:val="22"/>
        </w:rPr>
        <w:fldChar w:fldCharType="begin"/>
      </w:r>
      <w:r w:rsidRPr="00E7638A">
        <w:rPr>
          <w:color w:val="auto"/>
          <w:sz w:val="22"/>
        </w:rPr>
        <w:instrText xml:space="preserve"> SEQ Table \* ARABIC </w:instrText>
      </w:r>
      <w:r w:rsidR="00361A82" w:rsidRPr="00E7638A">
        <w:rPr>
          <w:color w:val="auto"/>
          <w:sz w:val="22"/>
        </w:rPr>
        <w:fldChar w:fldCharType="separate"/>
      </w:r>
      <w:r w:rsidRPr="00E7638A">
        <w:rPr>
          <w:noProof/>
          <w:color w:val="auto"/>
          <w:sz w:val="22"/>
        </w:rPr>
        <w:t>1</w:t>
      </w:r>
      <w:r w:rsidR="00361A82" w:rsidRPr="00E7638A">
        <w:rPr>
          <w:color w:val="auto"/>
          <w:sz w:val="22"/>
        </w:rPr>
        <w:fldChar w:fldCharType="end"/>
      </w:r>
      <w:r w:rsidRPr="00E7638A">
        <w:rPr>
          <w:color w:val="auto"/>
          <w:sz w:val="22"/>
        </w:rPr>
        <w:t xml:space="preserve"> - </w:t>
      </w:r>
      <w:r w:rsidRPr="00E7638A">
        <w:rPr>
          <w:b w:val="0"/>
          <w:color w:val="auto"/>
          <w:sz w:val="22"/>
        </w:rPr>
        <w:t>RAT interworking scenarios</w:t>
      </w:r>
    </w:p>
    <w:p w:rsidR="00692D62" w:rsidRDefault="00692D62" w:rsidP="00713691">
      <w:pPr>
        <w:pStyle w:val="Body"/>
      </w:pPr>
      <w:r>
        <w:rPr>
          <w:b/>
        </w:rPr>
        <w:t>Proposal 2:</w:t>
      </w:r>
      <w:r>
        <w:t xml:space="preserve"> inter-RAT interworking between </w:t>
      </w:r>
      <w:r w:rsidR="000666B4">
        <w:t xml:space="preserve">LTE, eLTE, NR </w:t>
      </w:r>
      <w:r>
        <w:t xml:space="preserve">should be </w:t>
      </w:r>
      <w:r w:rsidR="00E7638A">
        <w:t>studied and specified</w:t>
      </w:r>
      <w:r w:rsidR="000666B4">
        <w:t xml:space="preserve"> as necessary.</w:t>
      </w:r>
    </w:p>
    <w:p w:rsidR="005B6EC7" w:rsidRDefault="00A16C9A" w:rsidP="00692D62">
      <w:pPr>
        <w:pStyle w:val="1"/>
      </w:pPr>
      <w:r>
        <w:t xml:space="preserve">Independent </w:t>
      </w:r>
      <w:r w:rsidR="00692D62">
        <w:t>Radio and Core migrations</w:t>
      </w:r>
    </w:p>
    <w:p w:rsidR="00692D62" w:rsidRDefault="00692D62" w:rsidP="00692D62">
      <w:pPr>
        <w:pStyle w:val="Body"/>
      </w:pPr>
      <w:r>
        <w:t>An important aspect of the scenarios shortlisted at TSG#72 is that of independent radio and core migrations, primarily with:</w:t>
      </w:r>
    </w:p>
    <w:p w:rsidR="00692D62" w:rsidRDefault="00692D62" w:rsidP="00692D62">
      <w:pPr>
        <w:pStyle w:val="Body"/>
        <w:numPr>
          <w:ilvl w:val="0"/>
          <w:numId w:val="21"/>
        </w:numPr>
      </w:pPr>
      <w:r>
        <w:t>NR in EPS</w:t>
      </w:r>
      <w:r>
        <w:tab/>
      </w:r>
      <w:r>
        <w:tab/>
      </w:r>
      <w:r>
        <w:tab/>
      </w:r>
      <w:r>
        <w:tab/>
      </w:r>
      <w:r>
        <w:tab/>
        <w:t>(EPS3(a))</w:t>
      </w:r>
    </w:p>
    <w:p w:rsidR="00692D62" w:rsidRDefault="00692D62" w:rsidP="00692D62">
      <w:pPr>
        <w:pStyle w:val="Body"/>
        <w:numPr>
          <w:ilvl w:val="0"/>
          <w:numId w:val="21"/>
        </w:numPr>
      </w:pPr>
      <w:r>
        <w:t>E-UTRA in NGS (aka Evolved E-UTRA)</w:t>
      </w:r>
      <w:r>
        <w:tab/>
        <w:t>(EPS5, EPS7(a))</w:t>
      </w:r>
    </w:p>
    <w:p w:rsidR="00692D62" w:rsidRDefault="00692D62" w:rsidP="00692D62">
      <w:pPr>
        <w:pStyle w:val="Body"/>
      </w:pPr>
      <w:r>
        <w:t>In other words, the deployment of NR may not necessarily be accompanied by the simultaneous deployment of NGCore (and vice-versa)</w:t>
      </w:r>
      <w:r w:rsidR="008650D8">
        <w:t>.</w:t>
      </w:r>
    </w:p>
    <w:p w:rsidR="00A16C9A" w:rsidRDefault="00A16C9A" w:rsidP="008650D8">
      <w:pPr>
        <w:pStyle w:val="Body"/>
      </w:pPr>
      <w:r>
        <w:t>We see two impor</w:t>
      </w:r>
      <w:r w:rsidR="001A788E">
        <w:t>tant motivations for NextGen/</w:t>
      </w:r>
      <w:r>
        <w:t xml:space="preserve"> NR: </w:t>
      </w:r>
    </w:p>
    <w:p w:rsidR="00A16C9A" w:rsidRDefault="00A16C9A" w:rsidP="00A16C9A">
      <w:pPr>
        <w:pStyle w:val="Body"/>
        <w:numPr>
          <w:ilvl w:val="0"/>
          <w:numId w:val="22"/>
        </w:numPr>
      </w:pPr>
      <w:r>
        <w:t>NextGen: “network slicing” to facilitate the integration of vertical industries into the 3GPP system thus enabling operators to deploy new business models with minimum</w:t>
      </w:r>
      <w:r w:rsidR="001A788E">
        <w:t>,</w:t>
      </w:r>
      <w:r>
        <w:t xml:space="preserve"> </w:t>
      </w:r>
      <w:r w:rsidR="001A788E">
        <w:t xml:space="preserve">if any, </w:t>
      </w:r>
      <w:r>
        <w:t>impact to the system.</w:t>
      </w:r>
    </w:p>
    <w:p w:rsidR="00A16C9A" w:rsidRDefault="00A16C9A" w:rsidP="00A16C9A">
      <w:pPr>
        <w:pStyle w:val="Body"/>
        <w:numPr>
          <w:ilvl w:val="0"/>
          <w:numId w:val="22"/>
        </w:numPr>
      </w:pPr>
      <w:r>
        <w:t xml:space="preserve">NR: </w:t>
      </w:r>
      <w:r w:rsidR="001A788E">
        <w:t xml:space="preserve">to enable </w:t>
      </w:r>
      <w:r>
        <w:t xml:space="preserve">tapping into new spectrum </w:t>
      </w:r>
      <w:r w:rsidR="001A788E">
        <w:t>so as to</w:t>
      </w:r>
      <w:r>
        <w:t xml:space="preserve"> significantly boost </w:t>
      </w:r>
      <w:r w:rsidR="001A788E">
        <w:t xml:space="preserve">the </w:t>
      </w:r>
      <w:r>
        <w:t xml:space="preserve">overall performance </w:t>
      </w:r>
      <w:r w:rsidR="001A788E">
        <w:t xml:space="preserve">figures especially in terms of capacity, </w:t>
      </w:r>
      <w:r>
        <w:t>data rates, latency</w:t>
      </w:r>
      <w:r w:rsidR="001A788E">
        <w:t xml:space="preserve"> and connectivity vs. LTE.</w:t>
      </w:r>
    </w:p>
    <w:p w:rsidR="00073CF9" w:rsidRDefault="001A788E" w:rsidP="001A788E">
      <w:pPr>
        <w:pStyle w:val="Body"/>
        <w:ind w:left="502"/>
      </w:pPr>
      <w:r>
        <w:t>These motivations reinforce the need for enabling an independent migration between core and access.</w:t>
      </w:r>
      <w:r w:rsidR="00073CF9">
        <w:t xml:space="preserve"> A implication of this principle is that for a UE, NR support in EPS shall not imply NGS support. This is further addressed in §4.</w:t>
      </w:r>
    </w:p>
    <w:p w:rsidR="007539AB" w:rsidRDefault="001A788E" w:rsidP="001A788E">
      <w:pPr>
        <w:pStyle w:val="Body"/>
        <w:ind w:left="502"/>
      </w:pPr>
      <w:r>
        <w:t xml:space="preserve">EPS3 has been deemed by some operators as a potential deterrent from NGS adoption. A particular worry has been expressed that EPS3 </w:t>
      </w:r>
      <w:r w:rsidR="00717CD0">
        <w:t>could</w:t>
      </w:r>
      <w:r>
        <w:t xml:space="preserve"> deter consumers from adopting NG</w:t>
      </w:r>
      <w:r w:rsidR="007539AB">
        <w:t xml:space="preserve">Core. Data rates, by means of improved radio capabilities, should remain a primary motivation for </w:t>
      </w:r>
      <w:r w:rsidR="007539AB" w:rsidRPr="007539AB">
        <w:rPr>
          <w:i/>
        </w:rPr>
        <w:t xml:space="preserve">consumers </w:t>
      </w:r>
      <w:r w:rsidR="007539AB">
        <w:t xml:space="preserve">to adopt </w:t>
      </w:r>
      <w:r w:rsidR="00717CD0">
        <w:t xml:space="preserve">the </w:t>
      </w:r>
      <w:r w:rsidR="007539AB">
        <w:t>3GPP’s New Radio – it is unlikely NGCore/NAS would matter</w:t>
      </w:r>
      <w:r w:rsidR="00717CD0">
        <w:t xml:space="preserve"> from a consumer perspective</w:t>
      </w:r>
      <w:r w:rsidR="007539AB">
        <w:t xml:space="preserve">. While we view EPS3 as an important step for early deployments, we also acknowledge some operators’ worries </w:t>
      </w:r>
      <w:r w:rsidR="005A34C1">
        <w:t>should</w:t>
      </w:r>
      <w:r w:rsidR="007539AB">
        <w:t xml:space="preserve"> full NR capabilities </w:t>
      </w:r>
      <w:r w:rsidR="005A34C1">
        <w:t>be</w:t>
      </w:r>
      <w:r w:rsidR="007539AB">
        <w:t xml:space="preserve"> enabled </w:t>
      </w:r>
      <w:r w:rsidR="005A34C1">
        <w:t>by</w:t>
      </w:r>
      <w:r w:rsidR="007539AB">
        <w:t xml:space="preserve"> EPS3.</w:t>
      </w:r>
      <w:r w:rsidR="005A34C1">
        <w:t xml:space="preserve"> However rather than truncating NR capabilities in EPS3, we believe this can be addressed</w:t>
      </w:r>
      <w:r w:rsidR="009457A5">
        <w:t xml:space="preserve"> individually per operator</w:t>
      </w:r>
      <w:r w:rsidR="005A34C1">
        <w:t xml:space="preserve"> by</w:t>
      </w:r>
      <w:r w:rsidR="009457A5">
        <w:t xml:space="preserve"> means of</w:t>
      </w:r>
      <w:r w:rsidR="005A34C1">
        <w:t xml:space="preserve"> subscription (UE AMBR). Note this is not specific to NR as such it is also, importantly, relevant to the further evolution of LTE if we end up with two systems evolving in parallel i.e. EPS and NGS.</w:t>
      </w:r>
    </w:p>
    <w:p w:rsidR="005A34C1" w:rsidRDefault="005A34C1" w:rsidP="001A788E">
      <w:pPr>
        <w:pStyle w:val="Body"/>
        <w:ind w:left="502"/>
      </w:pPr>
      <w:r w:rsidRPr="005A34C1">
        <w:rPr>
          <w:b/>
        </w:rPr>
        <w:lastRenderedPageBreak/>
        <w:t>Proposal 3:</w:t>
      </w:r>
      <w:r>
        <w:t xml:space="preserve"> NR capabilities should not be artificially restricted in </w:t>
      </w:r>
      <w:r w:rsidR="009457A5">
        <w:t xml:space="preserve">specifications </w:t>
      </w:r>
      <w:r>
        <w:t>for EPS3 deployments.</w:t>
      </w:r>
    </w:p>
    <w:p w:rsidR="005A34C1" w:rsidRDefault="005A34C1" w:rsidP="005A34C1">
      <w:pPr>
        <w:pStyle w:val="1"/>
      </w:pPr>
      <w:r>
        <w:t>UE Capabilities</w:t>
      </w:r>
    </w:p>
    <w:p w:rsidR="005A34C1" w:rsidRDefault="005A34C1" w:rsidP="005A34C1">
      <w:pPr>
        <w:pStyle w:val="Body"/>
        <w:ind w:left="502"/>
      </w:pPr>
      <w:r>
        <w:t>Forward compatibility is a simple notion made complicated.</w:t>
      </w:r>
    </w:p>
    <w:p w:rsidR="005A34C1" w:rsidRDefault="005A34C1" w:rsidP="005A34C1">
      <w:pPr>
        <w:pStyle w:val="Body"/>
        <w:ind w:left="502"/>
      </w:pPr>
      <w:r>
        <w:t>The key point of forward compatibility is that Phase 1 NR should be defined such that Phase 2 NR would not require a redesign of the physical layer. From a UE implementation perspective it translates into avoiding or minimizing hardware changes in Phase 2 vs. Phase 1.</w:t>
      </w:r>
    </w:p>
    <w:p w:rsidR="001A788E" w:rsidRDefault="005A34C1" w:rsidP="005A34C1">
      <w:pPr>
        <w:pStyle w:val="Body"/>
        <w:ind w:left="502"/>
      </w:pPr>
      <w:r>
        <w:t xml:space="preserve">“UE forward compatibility” has been used with a drastically different implication in SA circles, namely one of requesting a UE implementing NR (EPS3) to support NG Core as well. This is not forward compatibility as such. It is imposing additional requirements on an EPS UE supporting </w:t>
      </w:r>
      <w:r w:rsidR="002B4A26">
        <w:t>EPS3</w:t>
      </w:r>
      <w:r>
        <w:t xml:space="preserve"> to support NGS as well. Such requirement is not acceptable, especially taking into account that radio and core network migrations can be independent </w:t>
      </w:r>
      <w:r w:rsidR="009457A5">
        <w:t xml:space="preserve">and noting </w:t>
      </w:r>
      <w:r>
        <w:t xml:space="preserve">EPS3 is intended for early NR deployments. </w:t>
      </w:r>
    </w:p>
    <w:p w:rsidR="002B4A26" w:rsidRDefault="002B4A26" w:rsidP="002B4A26">
      <w:pPr>
        <w:pStyle w:val="Body"/>
      </w:pPr>
      <w:r>
        <w:t xml:space="preserve">As proposed in </w:t>
      </w:r>
      <w:r w:rsidR="00361A82">
        <w:fldChar w:fldCharType="begin"/>
      </w:r>
      <w:r>
        <w:instrText xml:space="preserve"> REF _Ref461168843 \r \h </w:instrText>
      </w:r>
      <w:r w:rsidR="00361A82">
        <w:fldChar w:fldCharType="separate"/>
      </w:r>
      <w:r>
        <w:t>[6]</w:t>
      </w:r>
      <w:r w:rsidR="00361A82">
        <w:fldChar w:fldCharType="end"/>
      </w:r>
      <w:r>
        <w:t xml:space="preserve"> and agreed by SA2 in </w:t>
      </w:r>
      <w:r w:rsidR="00361A82">
        <w:fldChar w:fldCharType="begin"/>
      </w:r>
      <w:r>
        <w:instrText xml:space="preserve"> REF _Ref461166845 \r \h </w:instrText>
      </w:r>
      <w:r w:rsidR="00361A82">
        <w:fldChar w:fldCharType="separate"/>
      </w:r>
      <w:r>
        <w:t>[8]</w:t>
      </w:r>
      <w:r w:rsidR="00361A82">
        <w:fldChar w:fldCharType="end"/>
      </w:r>
      <w:r>
        <w:t>, a UE supporting EPS3 may support NGS</w:t>
      </w:r>
      <w:r w:rsidR="009457A5">
        <w:t>7 (and vice-versa).</w:t>
      </w:r>
    </w:p>
    <w:p w:rsidR="009457A5" w:rsidRDefault="00D37F90" w:rsidP="009457A5">
      <w:pPr>
        <w:pStyle w:val="Body"/>
        <w:ind w:left="502"/>
      </w:pPr>
      <w:r>
        <w:t>Given the current deployment scenarios on the table, and not presuming of the EPC vs. NGC conclusion due in December plenary meetings, o</w:t>
      </w:r>
      <w:r w:rsidR="009457A5">
        <w:t>ur view is summarized hereafter</w:t>
      </w:r>
      <w:r>
        <w:t xml:space="preserve"> (in line with SA2 interim agreements as well).</w:t>
      </w:r>
    </w:p>
    <w:tbl>
      <w:tblPr>
        <w:tblStyle w:val="af1"/>
        <w:tblW w:w="0" w:type="auto"/>
        <w:jc w:val="center"/>
        <w:tblLook w:val="04A0"/>
      </w:tblPr>
      <w:tblGrid>
        <w:gridCol w:w="1147"/>
        <w:gridCol w:w="2638"/>
        <w:gridCol w:w="2152"/>
        <w:gridCol w:w="2730"/>
      </w:tblGrid>
      <w:tr w:rsidR="009457A5" w:rsidTr="00AD3377">
        <w:trPr>
          <w:jc w:val="center"/>
        </w:trPr>
        <w:tc>
          <w:tcPr>
            <w:tcW w:w="1147" w:type="dxa"/>
            <w:tcBorders>
              <w:top w:val="single" w:sz="4" w:space="0" w:color="000000" w:themeColor="text1"/>
              <w:left w:val="nil"/>
              <w:bottom w:val="single" w:sz="4" w:space="0" w:color="auto"/>
              <w:right w:val="nil"/>
            </w:tcBorders>
            <w:shd w:val="clear" w:color="auto" w:fill="F2F2F2" w:themeFill="background1" w:themeFillShade="F2"/>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Scenario</w:t>
            </w:r>
            <w:r w:rsidRPr="00717CD0">
              <w:rPr>
                <w:rFonts w:ascii="Calibri Light" w:hAnsi="Calibri Light" w:cs="Arial"/>
                <w:color w:val="000000"/>
                <w:kern w:val="24"/>
                <w:sz w:val="22"/>
                <w:szCs w:val="21"/>
              </w:rPr>
              <w:t xml:space="preserve"> </w:t>
            </w:r>
          </w:p>
        </w:tc>
        <w:tc>
          <w:tcPr>
            <w:tcW w:w="2638" w:type="dxa"/>
            <w:tcBorders>
              <w:top w:val="single" w:sz="4" w:space="0" w:color="000000" w:themeColor="text1"/>
              <w:left w:val="nil"/>
              <w:bottom w:val="single" w:sz="4" w:space="0" w:color="auto"/>
              <w:right w:val="nil"/>
            </w:tcBorders>
            <w:shd w:val="clear" w:color="auto" w:fill="F2F2F2" w:themeFill="background1" w:themeFillShade="F2"/>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Description</w:t>
            </w:r>
            <w:r w:rsidRPr="00717CD0">
              <w:rPr>
                <w:rFonts w:ascii="Calibri Light" w:hAnsi="Calibri Light" w:cs="Arial"/>
                <w:color w:val="000000"/>
                <w:kern w:val="24"/>
                <w:sz w:val="22"/>
                <w:szCs w:val="21"/>
              </w:rPr>
              <w:t xml:space="preserve"> </w:t>
            </w:r>
          </w:p>
        </w:tc>
        <w:tc>
          <w:tcPr>
            <w:tcW w:w="2152" w:type="dxa"/>
            <w:tcBorders>
              <w:top w:val="single" w:sz="4" w:space="0" w:color="000000" w:themeColor="text1"/>
              <w:left w:val="nil"/>
              <w:bottom w:val="single" w:sz="4" w:space="0" w:color="auto"/>
              <w:right w:val="nil"/>
            </w:tcBorders>
            <w:shd w:val="clear" w:color="auto" w:fill="F2F2F2" w:themeFill="background1" w:themeFillShade="F2"/>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Min. UE Capabilities</w:t>
            </w:r>
            <w:r w:rsidRPr="00717CD0">
              <w:rPr>
                <w:rFonts w:ascii="Calibri Light" w:hAnsi="Calibri Light" w:cs="Arial"/>
                <w:color w:val="000000"/>
                <w:kern w:val="24"/>
                <w:sz w:val="22"/>
                <w:szCs w:val="21"/>
              </w:rPr>
              <w:t xml:space="preserve"> </w:t>
            </w:r>
          </w:p>
        </w:tc>
        <w:tc>
          <w:tcPr>
            <w:tcW w:w="2730" w:type="dxa"/>
            <w:tcBorders>
              <w:top w:val="single" w:sz="4" w:space="0" w:color="000000" w:themeColor="text1"/>
              <w:left w:val="nil"/>
              <w:bottom w:val="single" w:sz="4" w:space="0" w:color="auto"/>
              <w:right w:val="nil"/>
            </w:tcBorders>
            <w:shd w:val="clear" w:color="auto" w:fill="F2F2F2" w:themeFill="background1" w:themeFillShade="F2"/>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Optional UE capabilties</w:t>
            </w:r>
            <w:r w:rsidRPr="00717CD0">
              <w:rPr>
                <w:rFonts w:ascii="Calibri Light" w:hAnsi="Calibri Light" w:cs="Arial"/>
                <w:color w:val="000000"/>
                <w:kern w:val="24"/>
                <w:sz w:val="22"/>
                <w:szCs w:val="21"/>
              </w:rPr>
              <w:t xml:space="preserve"> </w:t>
            </w:r>
          </w:p>
        </w:tc>
      </w:tr>
      <w:tr w:rsidR="009457A5" w:rsidTr="00AD3377">
        <w:trPr>
          <w:jc w:val="center"/>
        </w:trPr>
        <w:tc>
          <w:tcPr>
            <w:tcW w:w="1147" w:type="dxa"/>
            <w:tcBorders>
              <w:top w:val="single" w:sz="4" w:space="0" w:color="auto"/>
              <w:left w:val="nil"/>
              <w:bottom w:val="nil"/>
              <w:right w:val="nil"/>
            </w:tcBorders>
            <w:shd w:val="clear" w:color="auto" w:fill="F2F2F2" w:themeFill="background1" w:themeFillShade="F2"/>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EPS3</w:t>
            </w:r>
            <w:r w:rsidRPr="00717CD0">
              <w:rPr>
                <w:rFonts w:ascii="Calibri Light" w:hAnsi="Calibri Light" w:cs="Arial"/>
                <w:color w:val="000000"/>
                <w:kern w:val="24"/>
                <w:sz w:val="22"/>
                <w:szCs w:val="21"/>
              </w:rPr>
              <w:t xml:space="preserve"> </w:t>
            </w:r>
          </w:p>
        </w:tc>
        <w:tc>
          <w:tcPr>
            <w:tcW w:w="2638" w:type="dxa"/>
            <w:tcBorders>
              <w:top w:val="single" w:sz="4" w:space="0" w:color="auto"/>
              <w:left w:val="nil"/>
              <w:bottom w:val="nil"/>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rPr>
              <w:t xml:space="preserve">EPS NSA NR LTE Anchor </w:t>
            </w:r>
          </w:p>
        </w:tc>
        <w:tc>
          <w:tcPr>
            <w:tcW w:w="2152" w:type="dxa"/>
            <w:tcBorders>
              <w:top w:val="single" w:sz="4" w:space="0" w:color="auto"/>
              <w:left w:val="nil"/>
              <w:bottom w:val="nil"/>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EPS3 + EPS LTE</w:t>
            </w:r>
            <w:r w:rsidRPr="00717CD0">
              <w:rPr>
                <w:rFonts w:ascii="Calibri Light" w:hAnsi="Calibri Light" w:cs="Arial"/>
                <w:color w:val="000000"/>
                <w:kern w:val="24"/>
                <w:sz w:val="22"/>
                <w:szCs w:val="21"/>
              </w:rPr>
              <w:t xml:space="preserve"> </w:t>
            </w:r>
          </w:p>
        </w:tc>
        <w:tc>
          <w:tcPr>
            <w:tcW w:w="2730" w:type="dxa"/>
            <w:tcBorders>
              <w:top w:val="single" w:sz="4" w:space="0" w:color="auto"/>
              <w:left w:val="nil"/>
              <w:bottom w:val="nil"/>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NGSx</w:t>
            </w:r>
            <w:r w:rsidRPr="00717CD0">
              <w:rPr>
                <w:rFonts w:ascii="Calibri Light" w:hAnsi="Calibri Light" w:cs="Arial"/>
                <w:color w:val="000000"/>
                <w:kern w:val="24"/>
                <w:sz w:val="22"/>
                <w:szCs w:val="21"/>
              </w:rPr>
              <w:t xml:space="preserve"> </w:t>
            </w:r>
          </w:p>
        </w:tc>
      </w:tr>
      <w:tr w:rsidR="009457A5" w:rsidTr="00AD3377">
        <w:trPr>
          <w:jc w:val="center"/>
        </w:trPr>
        <w:tc>
          <w:tcPr>
            <w:tcW w:w="1147" w:type="dxa"/>
            <w:tcBorders>
              <w:top w:val="nil"/>
              <w:left w:val="nil"/>
              <w:bottom w:val="nil"/>
              <w:right w:val="nil"/>
            </w:tcBorders>
            <w:shd w:val="clear" w:color="auto" w:fill="F2F2F2" w:themeFill="background1" w:themeFillShade="F2"/>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NGS2</w:t>
            </w:r>
            <w:r w:rsidRPr="00717CD0">
              <w:rPr>
                <w:rFonts w:ascii="Calibri Light" w:hAnsi="Calibri Light" w:cs="Arial"/>
                <w:color w:val="000000"/>
                <w:kern w:val="24"/>
                <w:sz w:val="22"/>
                <w:szCs w:val="21"/>
              </w:rPr>
              <w:t xml:space="preserve"> </w:t>
            </w:r>
          </w:p>
        </w:tc>
        <w:tc>
          <w:tcPr>
            <w:tcW w:w="2638" w:type="dxa"/>
            <w:tcBorders>
              <w:top w:val="nil"/>
              <w:left w:val="nil"/>
              <w:bottom w:val="nil"/>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NGS SA NR</w:t>
            </w:r>
            <w:r w:rsidRPr="00717CD0">
              <w:rPr>
                <w:rFonts w:ascii="Calibri Light" w:hAnsi="Calibri Light" w:cs="Arial"/>
                <w:color w:val="000000"/>
                <w:kern w:val="24"/>
                <w:sz w:val="22"/>
                <w:szCs w:val="21"/>
              </w:rPr>
              <w:t xml:space="preserve"> </w:t>
            </w:r>
          </w:p>
        </w:tc>
        <w:tc>
          <w:tcPr>
            <w:tcW w:w="2152" w:type="dxa"/>
            <w:tcBorders>
              <w:top w:val="nil"/>
              <w:left w:val="nil"/>
              <w:bottom w:val="nil"/>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NGS2</w:t>
            </w:r>
            <w:r w:rsidRPr="00717CD0">
              <w:rPr>
                <w:rFonts w:ascii="Calibri Light" w:hAnsi="Calibri Light" w:cs="Arial"/>
                <w:color w:val="000000"/>
                <w:kern w:val="24"/>
                <w:sz w:val="22"/>
                <w:szCs w:val="21"/>
              </w:rPr>
              <w:t xml:space="preserve"> </w:t>
            </w:r>
          </w:p>
        </w:tc>
        <w:tc>
          <w:tcPr>
            <w:tcW w:w="2730" w:type="dxa"/>
            <w:tcBorders>
              <w:top w:val="nil"/>
              <w:left w:val="nil"/>
              <w:bottom w:val="nil"/>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EPS(3), NGS4, NGS5, NGS7</w:t>
            </w:r>
            <w:r w:rsidRPr="00717CD0">
              <w:rPr>
                <w:rFonts w:ascii="Calibri Light" w:hAnsi="Calibri Light" w:cs="Arial"/>
                <w:color w:val="000000"/>
                <w:kern w:val="24"/>
                <w:sz w:val="22"/>
                <w:szCs w:val="21"/>
              </w:rPr>
              <w:t xml:space="preserve"> </w:t>
            </w:r>
          </w:p>
        </w:tc>
      </w:tr>
      <w:tr w:rsidR="009457A5" w:rsidTr="00AD3377">
        <w:trPr>
          <w:jc w:val="center"/>
        </w:trPr>
        <w:tc>
          <w:tcPr>
            <w:tcW w:w="1147" w:type="dxa"/>
            <w:tcBorders>
              <w:top w:val="nil"/>
              <w:left w:val="nil"/>
              <w:bottom w:val="nil"/>
              <w:right w:val="nil"/>
            </w:tcBorders>
            <w:shd w:val="clear" w:color="auto" w:fill="F2F2F2" w:themeFill="background1" w:themeFillShade="F2"/>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NGS4</w:t>
            </w:r>
            <w:r w:rsidRPr="00717CD0">
              <w:rPr>
                <w:rFonts w:ascii="Calibri Light" w:hAnsi="Calibri Light" w:cs="Arial"/>
                <w:color w:val="000000"/>
                <w:kern w:val="24"/>
                <w:sz w:val="22"/>
                <w:szCs w:val="21"/>
              </w:rPr>
              <w:t xml:space="preserve"> </w:t>
            </w:r>
          </w:p>
        </w:tc>
        <w:tc>
          <w:tcPr>
            <w:tcW w:w="2638" w:type="dxa"/>
            <w:tcBorders>
              <w:top w:val="nil"/>
              <w:left w:val="nil"/>
              <w:bottom w:val="nil"/>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NGS NSA eLTE NR Anchor</w:t>
            </w:r>
            <w:r w:rsidRPr="00717CD0">
              <w:rPr>
                <w:rFonts w:ascii="Calibri Light" w:hAnsi="Calibri Light" w:cs="Arial"/>
                <w:color w:val="000000"/>
                <w:kern w:val="24"/>
                <w:sz w:val="22"/>
                <w:szCs w:val="21"/>
              </w:rPr>
              <w:t xml:space="preserve"> </w:t>
            </w:r>
          </w:p>
        </w:tc>
        <w:tc>
          <w:tcPr>
            <w:tcW w:w="2152" w:type="dxa"/>
            <w:tcBorders>
              <w:top w:val="nil"/>
              <w:left w:val="nil"/>
              <w:bottom w:val="nil"/>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NGS2 + NGS4</w:t>
            </w:r>
            <w:r w:rsidRPr="00717CD0">
              <w:rPr>
                <w:rFonts w:ascii="Calibri Light" w:hAnsi="Calibri Light" w:cs="Arial"/>
                <w:color w:val="000000"/>
                <w:kern w:val="24"/>
                <w:sz w:val="22"/>
                <w:szCs w:val="21"/>
              </w:rPr>
              <w:t xml:space="preserve"> </w:t>
            </w:r>
          </w:p>
        </w:tc>
        <w:tc>
          <w:tcPr>
            <w:tcW w:w="2730" w:type="dxa"/>
            <w:tcBorders>
              <w:top w:val="nil"/>
              <w:left w:val="nil"/>
              <w:bottom w:val="nil"/>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EPS(3), NGS5, NGS7</w:t>
            </w:r>
            <w:r w:rsidRPr="00717CD0">
              <w:rPr>
                <w:rFonts w:ascii="Calibri Light" w:hAnsi="Calibri Light" w:cs="Arial"/>
                <w:color w:val="000000"/>
                <w:kern w:val="24"/>
                <w:sz w:val="22"/>
                <w:szCs w:val="21"/>
              </w:rPr>
              <w:t xml:space="preserve"> </w:t>
            </w:r>
          </w:p>
        </w:tc>
      </w:tr>
      <w:tr w:rsidR="009457A5" w:rsidTr="00AD3377">
        <w:trPr>
          <w:jc w:val="center"/>
        </w:trPr>
        <w:tc>
          <w:tcPr>
            <w:tcW w:w="1147" w:type="dxa"/>
            <w:tcBorders>
              <w:top w:val="nil"/>
              <w:left w:val="nil"/>
              <w:bottom w:val="nil"/>
              <w:right w:val="nil"/>
            </w:tcBorders>
            <w:shd w:val="clear" w:color="auto" w:fill="F2F2F2" w:themeFill="background1" w:themeFillShade="F2"/>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NGS5</w:t>
            </w:r>
            <w:r w:rsidRPr="00717CD0">
              <w:rPr>
                <w:rFonts w:ascii="Calibri Light" w:hAnsi="Calibri Light" w:cs="Arial"/>
                <w:color w:val="000000"/>
                <w:kern w:val="24"/>
                <w:sz w:val="22"/>
                <w:szCs w:val="21"/>
              </w:rPr>
              <w:t xml:space="preserve"> </w:t>
            </w:r>
          </w:p>
        </w:tc>
        <w:tc>
          <w:tcPr>
            <w:tcW w:w="2638" w:type="dxa"/>
            <w:tcBorders>
              <w:top w:val="nil"/>
              <w:left w:val="nil"/>
              <w:bottom w:val="nil"/>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NGS SA eLTE</w:t>
            </w:r>
            <w:r w:rsidRPr="00717CD0">
              <w:rPr>
                <w:rFonts w:ascii="Calibri Light" w:hAnsi="Calibri Light" w:cs="Arial"/>
                <w:color w:val="000000"/>
                <w:kern w:val="24"/>
                <w:sz w:val="22"/>
                <w:szCs w:val="21"/>
              </w:rPr>
              <w:t xml:space="preserve"> </w:t>
            </w:r>
          </w:p>
        </w:tc>
        <w:tc>
          <w:tcPr>
            <w:tcW w:w="2152" w:type="dxa"/>
            <w:tcBorders>
              <w:top w:val="nil"/>
              <w:left w:val="nil"/>
              <w:bottom w:val="nil"/>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NGS5</w:t>
            </w:r>
            <w:r w:rsidRPr="00717CD0">
              <w:rPr>
                <w:rFonts w:ascii="Calibri Light" w:hAnsi="Calibri Light" w:cs="Arial"/>
                <w:color w:val="000000"/>
                <w:kern w:val="24"/>
                <w:sz w:val="22"/>
                <w:szCs w:val="21"/>
              </w:rPr>
              <w:t xml:space="preserve"> </w:t>
            </w:r>
          </w:p>
        </w:tc>
        <w:tc>
          <w:tcPr>
            <w:tcW w:w="2730" w:type="dxa"/>
            <w:tcBorders>
              <w:top w:val="nil"/>
              <w:left w:val="nil"/>
              <w:bottom w:val="nil"/>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EPS(3), NGS7, NGS2, NGS4</w:t>
            </w:r>
            <w:r w:rsidRPr="00717CD0">
              <w:rPr>
                <w:rFonts w:ascii="Calibri Light" w:hAnsi="Calibri Light" w:cs="Arial"/>
                <w:color w:val="000000"/>
                <w:kern w:val="24"/>
                <w:sz w:val="22"/>
                <w:szCs w:val="21"/>
              </w:rPr>
              <w:t xml:space="preserve"> </w:t>
            </w:r>
          </w:p>
        </w:tc>
      </w:tr>
      <w:tr w:rsidR="009457A5" w:rsidTr="00AD3377">
        <w:trPr>
          <w:jc w:val="center"/>
        </w:trPr>
        <w:tc>
          <w:tcPr>
            <w:tcW w:w="1147" w:type="dxa"/>
            <w:tcBorders>
              <w:top w:val="nil"/>
              <w:left w:val="nil"/>
              <w:bottom w:val="single" w:sz="4" w:space="0" w:color="auto"/>
              <w:right w:val="nil"/>
            </w:tcBorders>
            <w:shd w:val="clear" w:color="auto" w:fill="F2F2F2" w:themeFill="background1" w:themeFillShade="F2"/>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NGS7</w:t>
            </w:r>
            <w:r w:rsidRPr="00717CD0">
              <w:rPr>
                <w:rFonts w:ascii="Calibri Light" w:hAnsi="Calibri Light" w:cs="Arial"/>
                <w:color w:val="000000"/>
                <w:kern w:val="24"/>
                <w:sz w:val="22"/>
                <w:szCs w:val="21"/>
              </w:rPr>
              <w:t xml:space="preserve"> </w:t>
            </w:r>
          </w:p>
        </w:tc>
        <w:tc>
          <w:tcPr>
            <w:tcW w:w="2638" w:type="dxa"/>
            <w:tcBorders>
              <w:top w:val="nil"/>
              <w:left w:val="nil"/>
              <w:bottom w:val="single" w:sz="4" w:space="0" w:color="auto"/>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rPr>
              <w:t xml:space="preserve">NGS NSA NR eLTE Anchor </w:t>
            </w:r>
          </w:p>
        </w:tc>
        <w:tc>
          <w:tcPr>
            <w:tcW w:w="2152" w:type="dxa"/>
            <w:tcBorders>
              <w:top w:val="nil"/>
              <w:left w:val="nil"/>
              <w:bottom w:val="single" w:sz="4" w:space="0" w:color="auto"/>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NGS5 + NGS7</w:t>
            </w:r>
            <w:r w:rsidRPr="00717CD0">
              <w:rPr>
                <w:rFonts w:ascii="Calibri Light" w:hAnsi="Calibri Light" w:cs="Arial"/>
                <w:color w:val="000000"/>
                <w:kern w:val="24"/>
                <w:sz w:val="22"/>
                <w:szCs w:val="21"/>
              </w:rPr>
              <w:t xml:space="preserve"> </w:t>
            </w:r>
          </w:p>
        </w:tc>
        <w:tc>
          <w:tcPr>
            <w:tcW w:w="2730" w:type="dxa"/>
            <w:tcBorders>
              <w:top w:val="nil"/>
              <w:left w:val="nil"/>
              <w:bottom w:val="single" w:sz="4" w:space="0" w:color="auto"/>
              <w:right w:val="nil"/>
            </w:tcBorders>
          </w:tcPr>
          <w:p w:rsidR="009457A5" w:rsidRPr="00717CD0" w:rsidRDefault="009457A5">
            <w:pPr>
              <w:pStyle w:val="Web"/>
              <w:spacing w:before="0" w:beforeAutospacing="0" w:after="0" w:afterAutospacing="0"/>
              <w:rPr>
                <w:rFonts w:ascii="Arial" w:hAnsi="Arial" w:cs="Arial"/>
                <w:sz w:val="22"/>
                <w:szCs w:val="36"/>
              </w:rPr>
            </w:pPr>
            <w:r w:rsidRPr="00717CD0">
              <w:rPr>
                <w:rFonts w:ascii="Calibri Light" w:hAnsi="Calibri Light" w:cs="Arial"/>
                <w:color w:val="000000"/>
                <w:kern w:val="24"/>
                <w:sz w:val="22"/>
                <w:szCs w:val="21"/>
                <w:lang w:val="fi-FI"/>
              </w:rPr>
              <w:t>EPS(3), NGS2, NGS4</w:t>
            </w:r>
            <w:r w:rsidRPr="00717CD0">
              <w:rPr>
                <w:rFonts w:ascii="Calibri Light" w:hAnsi="Calibri Light" w:cs="Arial"/>
                <w:color w:val="000000"/>
                <w:kern w:val="24"/>
                <w:sz w:val="22"/>
                <w:szCs w:val="21"/>
              </w:rPr>
              <w:t xml:space="preserve"> </w:t>
            </w:r>
          </w:p>
        </w:tc>
      </w:tr>
      <w:tr w:rsidR="009457A5" w:rsidTr="00AD3377">
        <w:trPr>
          <w:jc w:val="center"/>
        </w:trPr>
        <w:tc>
          <w:tcPr>
            <w:tcW w:w="8667" w:type="dxa"/>
            <w:gridSpan w:val="4"/>
            <w:tcBorders>
              <w:top w:val="single" w:sz="4" w:space="0" w:color="auto"/>
              <w:left w:val="nil"/>
              <w:bottom w:val="single" w:sz="4" w:space="0" w:color="000000" w:themeColor="text1"/>
              <w:right w:val="nil"/>
            </w:tcBorders>
            <w:tcMar>
              <w:top w:w="57" w:type="dxa"/>
              <w:bottom w:w="57" w:type="dxa"/>
            </w:tcMar>
          </w:tcPr>
          <w:p w:rsidR="009457A5" w:rsidRPr="00717CD0" w:rsidRDefault="009457A5" w:rsidP="009457A5">
            <w:pPr>
              <w:pStyle w:val="Web"/>
              <w:tabs>
                <w:tab w:val="left" w:pos="774"/>
              </w:tabs>
              <w:spacing w:before="0" w:beforeAutospacing="0" w:after="0" w:afterAutospacing="0"/>
              <w:rPr>
                <w:rFonts w:ascii="Calibri Light" w:hAnsi="Calibri Light" w:cs="Arial"/>
                <w:color w:val="000000"/>
                <w:kern w:val="24"/>
                <w:sz w:val="22"/>
                <w:szCs w:val="21"/>
              </w:rPr>
            </w:pPr>
            <w:r w:rsidRPr="00717CD0">
              <w:rPr>
                <w:rFonts w:ascii="Calibri Light" w:hAnsi="Calibri Light" w:cs="Arial"/>
                <w:color w:val="000000"/>
                <w:kern w:val="24"/>
                <w:sz w:val="22"/>
                <w:szCs w:val="21"/>
              </w:rPr>
              <w:t>NOTE 1:</w:t>
            </w:r>
            <w:r w:rsidRPr="00717CD0">
              <w:rPr>
                <w:rFonts w:ascii="Calibri Light" w:hAnsi="Calibri Light" w:cs="Arial"/>
                <w:color w:val="000000"/>
                <w:kern w:val="24"/>
                <w:sz w:val="22"/>
                <w:szCs w:val="21"/>
              </w:rPr>
              <w:tab/>
              <w:t xml:space="preserve">Sub-NSA scenario are not distinguished (e.g. </w:t>
            </w:r>
            <w:r w:rsidR="00717CD0" w:rsidRPr="00717CD0">
              <w:rPr>
                <w:rFonts w:ascii="Calibri Light" w:hAnsi="Calibri Light" w:cs="Arial"/>
                <w:color w:val="000000"/>
                <w:kern w:val="24"/>
                <w:sz w:val="22"/>
                <w:szCs w:val="21"/>
              </w:rPr>
              <w:t xml:space="preserve">EPS3, </w:t>
            </w:r>
            <w:r w:rsidRPr="00717CD0">
              <w:rPr>
                <w:rFonts w:ascii="Calibri Light" w:hAnsi="Calibri Light" w:cs="Arial"/>
                <w:color w:val="000000"/>
                <w:kern w:val="24"/>
                <w:sz w:val="22"/>
                <w:szCs w:val="21"/>
              </w:rPr>
              <w:t>EPS3a)</w:t>
            </w:r>
          </w:p>
          <w:p w:rsidR="009457A5" w:rsidRPr="00717CD0" w:rsidRDefault="009457A5" w:rsidP="009457A5">
            <w:pPr>
              <w:pStyle w:val="Web"/>
              <w:tabs>
                <w:tab w:val="left" w:pos="774"/>
              </w:tabs>
              <w:spacing w:before="0" w:beforeAutospacing="0" w:after="0" w:afterAutospacing="0"/>
              <w:rPr>
                <w:rFonts w:ascii="Calibri Light" w:hAnsi="Calibri Light" w:cs="Arial"/>
                <w:color w:val="000000"/>
                <w:kern w:val="24"/>
                <w:sz w:val="22"/>
                <w:szCs w:val="21"/>
              </w:rPr>
            </w:pPr>
            <w:r w:rsidRPr="00717CD0">
              <w:rPr>
                <w:rFonts w:ascii="Calibri Light" w:hAnsi="Calibri Light" w:cs="Arial"/>
                <w:color w:val="000000"/>
                <w:kern w:val="24"/>
                <w:sz w:val="22"/>
                <w:szCs w:val="21"/>
              </w:rPr>
              <w:t>NOTE 2:</w:t>
            </w:r>
            <w:r w:rsidRPr="00717CD0">
              <w:rPr>
                <w:rFonts w:ascii="Calibri Light" w:hAnsi="Calibri Light" w:cs="Arial"/>
                <w:color w:val="000000"/>
                <w:kern w:val="24"/>
                <w:sz w:val="22"/>
                <w:szCs w:val="21"/>
              </w:rPr>
              <w:tab/>
              <w:t>NAS Implications:</w:t>
            </w:r>
          </w:p>
          <w:p w:rsidR="009457A5" w:rsidRPr="00717CD0" w:rsidRDefault="009457A5" w:rsidP="009457A5">
            <w:pPr>
              <w:pStyle w:val="Web"/>
              <w:numPr>
                <w:ilvl w:val="0"/>
                <w:numId w:val="23"/>
              </w:numPr>
              <w:tabs>
                <w:tab w:val="left" w:pos="774"/>
              </w:tabs>
              <w:spacing w:before="0" w:beforeAutospacing="0" w:after="0" w:afterAutospacing="0"/>
              <w:rPr>
                <w:rFonts w:ascii="Calibri Light" w:hAnsi="Calibri Light" w:cs="Arial"/>
                <w:color w:val="000000"/>
                <w:kern w:val="24"/>
                <w:sz w:val="22"/>
                <w:szCs w:val="21"/>
              </w:rPr>
            </w:pPr>
            <w:r w:rsidRPr="00717CD0">
              <w:rPr>
                <w:rFonts w:ascii="Calibri Light" w:hAnsi="Calibri Light" w:cs="Arial"/>
                <w:color w:val="000000"/>
                <w:kern w:val="24"/>
                <w:sz w:val="22"/>
                <w:szCs w:val="21"/>
              </w:rPr>
              <w:t>EPS implies EPS NAS only</w:t>
            </w:r>
          </w:p>
          <w:p w:rsidR="009457A5" w:rsidRPr="00717CD0" w:rsidRDefault="009457A5" w:rsidP="009457A5">
            <w:pPr>
              <w:pStyle w:val="Web"/>
              <w:numPr>
                <w:ilvl w:val="0"/>
                <w:numId w:val="23"/>
              </w:numPr>
              <w:tabs>
                <w:tab w:val="left" w:pos="774"/>
              </w:tabs>
              <w:spacing w:before="0" w:beforeAutospacing="0" w:after="0" w:afterAutospacing="0"/>
              <w:rPr>
                <w:rFonts w:ascii="Calibri Light" w:hAnsi="Calibri Light" w:cs="Arial"/>
                <w:color w:val="000000"/>
                <w:kern w:val="24"/>
                <w:sz w:val="22"/>
                <w:szCs w:val="21"/>
              </w:rPr>
            </w:pPr>
            <w:r w:rsidRPr="00717CD0">
              <w:rPr>
                <w:rFonts w:ascii="Calibri Light" w:hAnsi="Calibri Light" w:cs="Arial"/>
                <w:color w:val="000000"/>
                <w:kern w:val="24"/>
                <w:sz w:val="22"/>
                <w:szCs w:val="21"/>
              </w:rPr>
              <w:t>NGS implies NGS NAS only</w:t>
            </w:r>
          </w:p>
        </w:tc>
      </w:tr>
    </w:tbl>
    <w:p w:rsidR="00D37F90" w:rsidRPr="00E7638A" w:rsidRDefault="00D37F90" w:rsidP="00D37F90">
      <w:pPr>
        <w:pStyle w:val="af2"/>
        <w:jc w:val="center"/>
        <w:rPr>
          <w:b w:val="0"/>
          <w:color w:val="auto"/>
          <w:sz w:val="22"/>
        </w:rPr>
      </w:pPr>
      <w:r w:rsidRPr="00E7638A">
        <w:rPr>
          <w:color w:val="auto"/>
          <w:sz w:val="22"/>
        </w:rPr>
        <w:t xml:space="preserve">Table </w:t>
      </w:r>
      <w:r w:rsidR="00361A82" w:rsidRPr="00E7638A">
        <w:rPr>
          <w:color w:val="auto"/>
          <w:sz w:val="22"/>
        </w:rPr>
        <w:fldChar w:fldCharType="begin"/>
      </w:r>
      <w:r w:rsidRPr="00E7638A">
        <w:rPr>
          <w:color w:val="auto"/>
          <w:sz w:val="22"/>
        </w:rPr>
        <w:instrText xml:space="preserve"> SEQ Table \* ARABIC </w:instrText>
      </w:r>
      <w:r w:rsidR="00361A82" w:rsidRPr="00E7638A">
        <w:rPr>
          <w:color w:val="auto"/>
          <w:sz w:val="22"/>
        </w:rPr>
        <w:fldChar w:fldCharType="separate"/>
      </w:r>
      <w:r>
        <w:rPr>
          <w:noProof/>
          <w:color w:val="auto"/>
          <w:sz w:val="22"/>
        </w:rPr>
        <w:t>2</w:t>
      </w:r>
      <w:r w:rsidR="00361A82" w:rsidRPr="00E7638A">
        <w:rPr>
          <w:color w:val="auto"/>
          <w:sz w:val="22"/>
        </w:rPr>
        <w:fldChar w:fldCharType="end"/>
      </w:r>
      <w:r w:rsidRPr="00E7638A">
        <w:rPr>
          <w:color w:val="auto"/>
          <w:sz w:val="22"/>
        </w:rPr>
        <w:t xml:space="preserve"> </w:t>
      </w:r>
      <w:r>
        <w:rPr>
          <w:color w:val="auto"/>
          <w:sz w:val="22"/>
        </w:rPr>
        <w:t>–</w:t>
      </w:r>
      <w:r w:rsidRPr="00E7638A">
        <w:rPr>
          <w:color w:val="auto"/>
          <w:sz w:val="22"/>
        </w:rPr>
        <w:t xml:space="preserve"> </w:t>
      </w:r>
      <w:r>
        <w:rPr>
          <w:b w:val="0"/>
          <w:color w:val="auto"/>
          <w:sz w:val="22"/>
        </w:rPr>
        <w:t>UE Capabilities</w:t>
      </w:r>
    </w:p>
    <w:p w:rsidR="009457A5" w:rsidRDefault="00D37F90" w:rsidP="009457A5">
      <w:pPr>
        <w:pStyle w:val="Body"/>
        <w:ind w:left="502"/>
      </w:pPr>
      <w:r w:rsidRPr="00D37F90">
        <w:rPr>
          <w:b/>
        </w:rPr>
        <w:t>Proposal 4:</w:t>
      </w:r>
      <w:r>
        <w:t xml:space="preserve"> the UE capabilities illustrated in Table 2 should be taken as a working assumption.</w:t>
      </w:r>
    </w:p>
    <w:p w:rsidR="00713691" w:rsidRDefault="00713691" w:rsidP="00713691">
      <w:pPr>
        <w:pStyle w:val="1"/>
        <w:rPr>
          <w:lang w:eastAsia="zh-TW"/>
        </w:rPr>
      </w:pPr>
      <w:r>
        <w:rPr>
          <w:lang w:eastAsia="zh-TW"/>
        </w:rPr>
        <w:t>Conclusion</w:t>
      </w:r>
    </w:p>
    <w:p w:rsidR="00D37F90" w:rsidRDefault="00BE27D2" w:rsidP="00D37F90">
      <w:pPr>
        <w:pStyle w:val="Body"/>
        <w:rPr>
          <w:lang w:eastAsia="zh-TW"/>
        </w:rPr>
      </w:pPr>
      <w:r>
        <w:rPr>
          <w:lang w:eastAsia="zh-TW"/>
        </w:rPr>
        <w:t>This document addresses a number of proposals regarding migration and UE Capabilities. This should be revisited in TSG#74 plenary meetings once the system architecture study is concluded by SA2.</w:t>
      </w:r>
    </w:p>
    <w:p w:rsidR="00BE27D2" w:rsidRDefault="00BE27D2" w:rsidP="00BE27D2">
      <w:pPr>
        <w:pStyle w:val="Body"/>
      </w:pPr>
      <w:r w:rsidRPr="00692D62">
        <w:rPr>
          <w:b/>
        </w:rPr>
        <w:t>Proposal 1:</w:t>
      </w:r>
      <w:r>
        <w:t xml:space="preserve"> Under the assumption NGS would be introduced, interworking and service continuity should be specified between NGS and EPS.</w:t>
      </w:r>
    </w:p>
    <w:p w:rsidR="00BE27D2" w:rsidRDefault="00BE27D2" w:rsidP="00BE27D2">
      <w:pPr>
        <w:pStyle w:val="Body"/>
      </w:pPr>
      <w:r>
        <w:rPr>
          <w:b/>
        </w:rPr>
        <w:t>Proposal 2:</w:t>
      </w:r>
      <w:r>
        <w:t xml:space="preserve"> inter-RAT interworking between LTE, eLTE, NR should be studied and specified as necessary.</w:t>
      </w:r>
    </w:p>
    <w:p w:rsidR="00BE27D2" w:rsidRDefault="00BE27D2" w:rsidP="004E09B4">
      <w:pPr>
        <w:pStyle w:val="Body"/>
      </w:pPr>
      <w:r w:rsidRPr="005A34C1">
        <w:rPr>
          <w:b/>
        </w:rPr>
        <w:lastRenderedPageBreak/>
        <w:t>Proposal 3:</w:t>
      </w:r>
      <w:r>
        <w:t xml:space="preserve"> NR capabilities should not be artificially restricted in specifications for EPS3 deployments.</w:t>
      </w:r>
    </w:p>
    <w:p w:rsidR="00BE27D2" w:rsidRDefault="00BE27D2" w:rsidP="004E09B4">
      <w:pPr>
        <w:pStyle w:val="Body"/>
      </w:pPr>
      <w:r w:rsidRPr="00D37F90">
        <w:rPr>
          <w:b/>
        </w:rPr>
        <w:t>Proposal 4:</w:t>
      </w:r>
      <w:r>
        <w:t xml:space="preserve"> the UE capabilities illustrated in Table 2 should be taken as a working assumption.</w:t>
      </w:r>
    </w:p>
    <w:p w:rsidR="00713691" w:rsidRDefault="00713691" w:rsidP="00713691">
      <w:pPr>
        <w:pStyle w:val="1"/>
        <w:rPr>
          <w:lang w:eastAsia="zh-TW"/>
        </w:rPr>
      </w:pPr>
      <w:r>
        <w:rPr>
          <w:lang w:eastAsia="zh-TW"/>
        </w:rPr>
        <w:t>References</w:t>
      </w:r>
    </w:p>
    <w:bookmarkStart w:id="1" w:name="_Ref461163584"/>
    <w:p w:rsidR="00571123" w:rsidRDefault="00361A82" w:rsidP="00713691">
      <w:pPr>
        <w:pStyle w:val="Reference"/>
        <w:rPr>
          <w:lang w:eastAsia="zh-TW"/>
        </w:rPr>
      </w:pPr>
      <w:r>
        <w:fldChar w:fldCharType="begin"/>
      </w:r>
      <w:r w:rsidR="00571123">
        <w:instrText>HYPERLINK "http://www.3gpp.org/ftp/tsg_ran/TSG_RAN/TSGR_72/Docs/RP-161253.zip"</w:instrText>
      </w:r>
      <w:r>
        <w:fldChar w:fldCharType="separate"/>
      </w:r>
      <w:r w:rsidR="00571123" w:rsidRPr="00DC675F">
        <w:rPr>
          <w:rStyle w:val="a3"/>
        </w:rPr>
        <w:t>RP-161253</w:t>
      </w:r>
      <w:r>
        <w:fldChar w:fldCharType="end"/>
      </w:r>
      <w:r w:rsidR="00BD280C">
        <w:t xml:space="preserve">, NR Schedule and Phases, TSG RAN, </w:t>
      </w:r>
      <w:r w:rsidR="00FC701C">
        <w:t xml:space="preserve">TSG </w:t>
      </w:r>
      <w:r w:rsidR="00BD280C">
        <w:t>RAN#72, 13-16 June, 2016, Busan, Korea</w:t>
      </w:r>
      <w:bookmarkEnd w:id="1"/>
      <w:r w:rsidR="0084597C">
        <w:t xml:space="preserve"> [</w:t>
      </w:r>
      <w:r w:rsidR="0084597C" w:rsidRPr="006D5019">
        <w:rPr>
          <w:i/>
        </w:rPr>
        <w:t>Endorsed</w:t>
      </w:r>
      <w:r w:rsidR="0084597C">
        <w:t>]</w:t>
      </w:r>
    </w:p>
    <w:bookmarkStart w:id="2" w:name="_Ref461163587"/>
    <w:p w:rsidR="00571123" w:rsidRDefault="00361A82" w:rsidP="00713691">
      <w:pPr>
        <w:pStyle w:val="Reference"/>
        <w:rPr>
          <w:lang w:eastAsia="zh-TW"/>
        </w:rPr>
      </w:pPr>
      <w:r>
        <w:fldChar w:fldCharType="begin"/>
      </w:r>
      <w:r w:rsidR="00571123">
        <w:instrText>HYPERLINK "http://www.3gpp.org/ftp/tsg_ran/TSG_RAN/TSGR_72/Docs/RP-161269.zip"</w:instrText>
      </w:r>
      <w:r>
        <w:fldChar w:fldCharType="separate"/>
      </w:r>
      <w:r w:rsidR="00571123" w:rsidRPr="00DC675F">
        <w:rPr>
          <w:rStyle w:val="a3"/>
        </w:rPr>
        <w:t>RP-161269</w:t>
      </w:r>
      <w:r>
        <w:fldChar w:fldCharType="end"/>
      </w:r>
      <w:r w:rsidR="00FC701C">
        <w:t xml:space="preserve">, </w:t>
      </w:r>
      <w:r w:rsidR="00FC701C" w:rsidRPr="00FC701C">
        <w:t>Tasks from joint RAN-SA session on 5G architecture options</w:t>
      </w:r>
      <w:r w:rsidR="00FC701C">
        <w:t xml:space="preserve">, TSG RAN Chairman, </w:t>
      </w:r>
      <w:r w:rsidR="00AC2460">
        <w:t xml:space="preserve">TSG </w:t>
      </w:r>
      <w:r w:rsidR="00FC701C">
        <w:t>RAN#72, 13-16 June 2016, Busan, Korea</w:t>
      </w:r>
      <w:bookmarkEnd w:id="2"/>
      <w:r w:rsidR="0084597C">
        <w:t xml:space="preserve"> [</w:t>
      </w:r>
      <w:r w:rsidR="0084597C" w:rsidRPr="006D5019">
        <w:rPr>
          <w:i/>
        </w:rPr>
        <w:t>Endorsed</w:t>
      </w:r>
      <w:r w:rsidR="0084597C">
        <w:t>]</w:t>
      </w:r>
    </w:p>
    <w:bookmarkStart w:id="3" w:name="_Ref461163585"/>
    <w:bookmarkStart w:id="4" w:name="_Ref461163903"/>
    <w:p w:rsidR="0084597C" w:rsidRDefault="00361A82" w:rsidP="0084597C">
      <w:pPr>
        <w:pStyle w:val="Reference"/>
        <w:rPr>
          <w:lang w:eastAsia="zh-TW"/>
        </w:rPr>
      </w:pPr>
      <w:r>
        <w:fldChar w:fldCharType="begin"/>
      </w:r>
      <w:r w:rsidR="0084597C">
        <w:instrText>HYPERLINK "http://www.3gpp.org/ftp/tsg_sa/TSG_SA/TSGS_72/Docs/SP-160465.zip"</w:instrText>
      </w:r>
      <w:r>
        <w:fldChar w:fldCharType="separate"/>
      </w:r>
      <w:r w:rsidR="0084597C" w:rsidRPr="00143A38">
        <w:rPr>
          <w:rStyle w:val="a3"/>
        </w:rPr>
        <w:t>SP-160465</w:t>
      </w:r>
      <w:r>
        <w:fldChar w:fldCharType="end"/>
      </w:r>
      <w:r w:rsidR="006D5019">
        <w:t xml:space="preserve"> (</w:t>
      </w:r>
      <w:hyperlink r:id="rId9" w:history="1">
        <w:r w:rsidR="006D5019" w:rsidRPr="00DC675F">
          <w:rPr>
            <w:rStyle w:val="a3"/>
          </w:rPr>
          <w:t>RP-161310</w:t>
        </w:r>
      </w:hyperlink>
      <w:r w:rsidR="0084597C">
        <w:t xml:space="preserve">), </w:t>
      </w:r>
      <w:r w:rsidR="0084597C">
        <w:rPr>
          <w:lang w:eastAsia="zh-TW"/>
        </w:rPr>
        <w:t>Combined NR and NextGen timeline,  Nokia, TSG SA</w:t>
      </w:r>
      <w:r w:rsidR="006D5019">
        <w:rPr>
          <w:lang w:eastAsia="zh-TW"/>
        </w:rPr>
        <w:t>(RAN</w:t>
      </w:r>
      <w:r w:rsidR="0084597C">
        <w:rPr>
          <w:lang w:eastAsia="zh-TW"/>
        </w:rPr>
        <w:t xml:space="preserve">)#72, </w:t>
      </w:r>
      <w:r w:rsidR="006D5019">
        <w:rPr>
          <w:lang w:eastAsia="zh-TW"/>
        </w:rPr>
        <w:t>16-19 (</w:t>
      </w:r>
      <w:r w:rsidR="0084597C">
        <w:rPr>
          <w:lang w:eastAsia="zh-TW"/>
        </w:rPr>
        <w:t>13-16</w:t>
      </w:r>
      <w:r w:rsidR="006D5019">
        <w:rPr>
          <w:lang w:eastAsia="zh-TW"/>
        </w:rPr>
        <w:t>)</w:t>
      </w:r>
      <w:r w:rsidR="0084597C">
        <w:rPr>
          <w:lang w:eastAsia="zh-TW"/>
        </w:rPr>
        <w:t xml:space="preserve"> June, 2016, Busan, Korea</w:t>
      </w:r>
      <w:bookmarkEnd w:id="3"/>
      <w:r w:rsidR="006D5019">
        <w:rPr>
          <w:lang w:eastAsia="zh-TW"/>
        </w:rPr>
        <w:t xml:space="preserve"> [</w:t>
      </w:r>
      <w:r w:rsidR="006D5019" w:rsidRPr="006D5019">
        <w:rPr>
          <w:i/>
          <w:lang w:eastAsia="zh-TW"/>
        </w:rPr>
        <w:t>Endorsed</w:t>
      </w:r>
      <w:r w:rsidR="006D5019">
        <w:rPr>
          <w:lang w:eastAsia="zh-TW"/>
        </w:rPr>
        <w:t xml:space="preserve"> by SA, Noted in RAN]</w:t>
      </w:r>
      <w:bookmarkEnd w:id="4"/>
    </w:p>
    <w:bookmarkStart w:id="5" w:name="_Ref461165115"/>
    <w:p w:rsidR="00AC2460" w:rsidRDefault="00361A82" w:rsidP="0084597C">
      <w:pPr>
        <w:pStyle w:val="Reference"/>
        <w:rPr>
          <w:lang w:eastAsia="zh-TW"/>
        </w:rPr>
      </w:pPr>
      <w:r>
        <w:rPr>
          <w:lang w:eastAsia="zh-TW"/>
        </w:rPr>
        <w:fldChar w:fldCharType="begin"/>
      </w:r>
      <w:r w:rsidR="00AC2460">
        <w:rPr>
          <w:lang w:eastAsia="zh-TW"/>
        </w:rPr>
        <w:instrText xml:space="preserve"> HYPERLINK "http://www.3gpp.org/ftp/tsg_ran/TSG_RAN/TSGR_72/Docs/RP-161269.zip" </w:instrText>
      </w:r>
      <w:r>
        <w:rPr>
          <w:lang w:eastAsia="zh-TW"/>
        </w:rPr>
        <w:fldChar w:fldCharType="separate"/>
      </w:r>
      <w:r w:rsidR="00AC2460" w:rsidRPr="00AC2460">
        <w:rPr>
          <w:rStyle w:val="a3"/>
          <w:lang w:eastAsia="zh-TW"/>
        </w:rPr>
        <w:t>RP-161266</w:t>
      </w:r>
      <w:r>
        <w:rPr>
          <w:lang w:eastAsia="zh-TW"/>
        </w:rPr>
        <w:fldChar w:fldCharType="end"/>
      </w:r>
      <w:r w:rsidR="00AC2460">
        <w:rPr>
          <w:lang w:eastAsia="zh-TW"/>
        </w:rPr>
        <w:t xml:space="preserve">, </w:t>
      </w:r>
      <w:r w:rsidR="00AC2460" w:rsidRPr="00AC2460">
        <w:rPr>
          <w:lang w:eastAsia="zh-TW"/>
        </w:rPr>
        <w:t>Architecture configuration options for NR</w:t>
      </w:r>
      <w:r w:rsidR="00AC2460">
        <w:rPr>
          <w:lang w:eastAsia="zh-TW"/>
        </w:rPr>
        <w:t>, Deutsche Telekom, TSG RAN#72, 13-16 June 2016, Busan, Korea [</w:t>
      </w:r>
      <w:r w:rsidR="00AC2460" w:rsidRPr="00AC2460">
        <w:rPr>
          <w:i/>
          <w:lang w:eastAsia="zh-TW"/>
        </w:rPr>
        <w:t>Noted</w:t>
      </w:r>
      <w:r w:rsidR="00AC2460">
        <w:rPr>
          <w:lang w:eastAsia="zh-TW"/>
        </w:rPr>
        <w:t>]</w:t>
      </w:r>
      <w:bookmarkEnd w:id="5"/>
    </w:p>
    <w:bookmarkStart w:id="6" w:name="_Ref461165361"/>
    <w:p w:rsidR="00421A76" w:rsidRDefault="00361A82" w:rsidP="0084597C">
      <w:pPr>
        <w:pStyle w:val="Reference"/>
        <w:rPr>
          <w:lang w:eastAsia="zh-TW"/>
        </w:rPr>
      </w:pPr>
      <w:r>
        <w:rPr>
          <w:lang w:eastAsia="zh-TW"/>
        </w:rPr>
        <w:fldChar w:fldCharType="begin"/>
      </w:r>
      <w:r w:rsidR="00421A76">
        <w:rPr>
          <w:lang w:eastAsia="zh-TW"/>
        </w:rPr>
        <w:instrText xml:space="preserve"> HYPERLINK "http://www.3gpp.org/ftp/tsg_ran/TSG_RAN/TSGR_72/Report/" </w:instrText>
      </w:r>
      <w:r>
        <w:rPr>
          <w:lang w:eastAsia="zh-TW"/>
        </w:rPr>
        <w:fldChar w:fldCharType="separate"/>
      </w:r>
      <w:r w:rsidR="00421A76" w:rsidRPr="00421A76">
        <w:rPr>
          <w:rStyle w:val="a3"/>
          <w:lang w:eastAsia="zh-TW"/>
        </w:rPr>
        <w:t>Link</w:t>
      </w:r>
      <w:r>
        <w:rPr>
          <w:lang w:eastAsia="zh-TW"/>
        </w:rPr>
        <w:fldChar w:fldCharType="end"/>
      </w:r>
      <w:r w:rsidR="00421A76">
        <w:rPr>
          <w:lang w:eastAsia="zh-TW"/>
        </w:rPr>
        <w:t>, 3GPP TSG RAN#72 Meeting Report, ETSI MCC, TSG RAN#72, 13-16 June 2016, Busan, Korea</w:t>
      </w:r>
      <w:bookmarkEnd w:id="6"/>
    </w:p>
    <w:bookmarkStart w:id="7" w:name="_Ref461166852"/>
    <w:bookmarkStart w:id="8" w:name="_Ref461168843"/>
    <w:p w:rsidR="0091235D" w:rsidRDefault="00361A82" w:rsidP="0084597C">
      <w:pPr>
        <w:pStyle w:val="Reference"/>
        <w:rPr>
          <w:lang w:eastAsia="zh-TW"/>
        </w:rPr>
      </w:pPr>
      <w:r>
        <w:fldChar w:fldCharType="begin"/>
      </w:r>
      <w:r w:rsidR="007D177A">
        <w:instrText>HYPERLINK "http://www.3gpp.org/ftp/tsg_sa/WG2_Arch/TSGS2_116BIS_Sanya/Docs/S2-164313.zip"</w:instrText>
      </w:r>
      <w:r>
        <w:fldChar w:fldCharType="separate"/>
      </w:r>
      <w:r w:rsidR="007D177A" w:rsidRPr="0048762B">
        <w:rPr>
          <w:rStyle w:val="a3"/>
        </w:rPr>
        <w:t>S2-164313</w:t>
      </w:r>
      <w:r>
        <w:fldChar w:fldCharType="end"/>
      </w:r>
      <w:r w:rsidR="0091235D">
        <w:rPr>
          <w:lang w:eastAsia="zh-TW"/>
        </w:rPr>
        <w:t xml:space="preserve">, </w:t>
      </w:r>
      <w:r w:rsidR="007D177A">
        <w:rPr>
          <w:lang w:eastAsia="zh-TW"/>
        </w:rPr>
        <w:t>KI#18 – Migration scenarios, MediaTek, TSG SA2#116bis, 29 Aug – 2 Sep 2016, Sanya, PRC</w:t>
      </w:r>
      <w:bookmarkEnd w:id="7"/>
      <w:r w:rsidR="003C51A7">
        <w:rPr>
          <w:lang w:eastAsia="zh-TW"/>
        </w:rPr>
        <w:t xml:space="preserve"> [</w:t>
      </w:r>
      <w:r w:rsidR="003C51A7" w:rsidRPr="003C51A7">
        <w:rPr>
          <w:i/>
          <w:lang w:eastAsia="zh-TW"/>
        </w:rPr>
        <w:t>Noted</w:t>
      </w:r>
      <w:r w:rsidR="003C51A7">
        <w:rPr>
          <w:lang w:eastAsia="zh-TW"/>
        </w:rPr>
        <w:t>]</w:t>
      </w:r>
      <w:bookmarkEnd w:id="8"/>
    </w:p>
    <w:bookmarkStart w:id="9" w:name="_Ref461167058"/>
    <w:p w:rsidR="003C51A7" w:rsidRDefault="00361A82" w:rsidP="0084597C">
      <w:pPr>
        <w:pStyle w:val="Reference"/>
        <w:rPr>
          <w:lang w:eastAsia="zh-TW"/>
        </w:rPr>
      </w:pPr>
      <w:r>
        <w:rPr>
          <w:lang w:eastAsia="zh-TW"/>
        </w:rPr>
        <w:fldChar w:fldCharType="begin"/>
      </w:r>
      <w:r w:rsidR="00423A05">
        <w:rPr>
          <w:lang w:eastAsia="zh-TW"/>
        </w:rPr>
        <w:instrText xml:space="preserve"> HYPERLINK "http://www.3gpp.org/ftp/tsg_sa/WG2_Arch/TSGS2_116BIS_Sanya/Docs/S2-165112.zip" </w:instrText>
      </w:r>
      <w:r>
        <w:rPr>
          <w:lang w:eastAsia="zh-TW"/>
        </w:rPr>
        <w:fldChar w:fldCharType="separate"/>
      </w:r>
      <w:r w:rsidR="003C51A7" w:rsidRPr="00423A05">
        <w:rPr>
          <w:rStyle w:val="a3"/>
          <w:lang w:eastAsia="zh-TW"/>
        </w:rPr>
        <w:t>S2-165112</w:t>
      </w:r>
      <w:r>
        <w:rPr>
          <w:lang w:eastAsia="zh-TW"/>
        </w:rPr>
        <w:fldChar w:fldCharType="end"/>
      </w:r>
      <w:r w:rsidR="003C51A7">
        <w:rPr>
          <w:lang w:eastAsia="zh-TW"/>
        </w:rPr>
        <w:t xml:space="preserve">, </w:t>
      </w:r>
      <w:r w:rsidR="003C51A7" w:rsidRPr="003C51A7">
        <w:rPr>
          <w:lang w:eastAsia="zh-TW"/>
        </w:rPr>
        <w:t>Discussion on NextGen System Migration Scenario and Roaming</w:t>
      </w:r>
      <w:r w:rsidR="003C51A7">
        <w:rPr>
          <w:lang w:eastAsia="zh-TW"/>
        </w:rPr>
        <w:t>, CMCC, Deutsche Telekom, AT&amp;T, TSG SA2#116bis, 29 Aug – 2 Sep 2016, Sanya, PRC [</w:t>
      </w:r>
      <w:r w:rsidR="003C51A7" w:rsidRPr="003C51A7">
        <w:rPr>
          <w:i/>
          <w:lang w:eastAsia="zh-TW"/>
        </w:rPr>
        <w:t>Noted</w:t>
      </w:r>
      <w:r w:rsidR="003C51A7">
        <w:rPr>
          <w:lang w:eastAsia="zh-TW"/>
        </w:rPr>
        <w:t>]</w:t>
      </w:r>
      <w:bookmarkEnd w:id="9"/>
    </w:p>
    <w:bookmarkStart w:id="10" w:name="_Ref461166845"/>
    <w:p w:rsidR="002C6E5E" w:rsidRDefault="00361A82" w:rsidP="00BE27D2">
      <w:pPr>
        <w:pStyle w:val="Reference"/>
        <w:rPr>
          <w:lang w:eastAsia="zh-TW"/>
        </w:rPr>
      </w:pPr>
      <w:r>
        <w:fldChar w:fldCharType="begin"/>
      </w:r>
      <w:r w:rsidR="007D177A">
        <w:instrText xml:space="preserve"> HYPERLINK "http://www.3gpp.org/ftp/tsg_sa/WG2_Arch/TSGS2_116BIS_Sanya/Docs/S2-165375.zip" </w:instrText>
      </w:r>
      <w:r>
        <w:fldChar w:fldCharType="separate"/>
      </w:r>
      <w:r w:rsidR="007D177A" w:rsidRPr="008E3271">
        <w:rPr>
          <w:rStyle w:val="a3"/>
        </w:rPr>
        <w:t>S2-165375</w:t>
      </w:r>
      <w:r>
        <w:fldChar w:fldCharType="end"/>
      </w:r>
      <w:r w:rsidR="007D177A">
        <w:rPr>
          <w:lang w:eastAsia="zh-TW"/>
        </w:rPr>
        <w:t xml:space="preserve">, </w:t>
      </w:r>
      <w:r w:rsidR="00922285">
        <w:rPr>
          <w:lang w:eastAsia="zh-TW"/>
        </w:rPr>
        <w:t>P</w:t>
      </w:r>
      <w:r w:rsidR="00922285" w:rsidRPr="00922285">
        <w:rPr>
          <w:lang w:eastAsia="zh-TW"/>
        </w:rPr>
        <w:t>roposal on migration and roaming to TR 23.799</w:t>
      </w:r>
      <w:r w:rsidR="00922285">
        <w:rPr>
          <w:lang w:eastAsia="zh-TW"/>
        </w:rPr>
        <w:t>, CMCC, AT&amp;T, Deutsche Telekom, TSG SA2#116bis</w:t>
      </w:r>
      <w:r w:rsidR="003C51A7">
        <w:rPr>
          <w:lang w:eastAsia="zh-TW"/>
        </w:rPr>
        <w:t>,</w:t>
      </w:r>
      <w:r w:rsidR="00922285">
        <w:rPr>
          <w:lang w:eastAsia="zh-TW"/>
        </w:rPr>
        <w:t xml:space="preserve"> 29 Aug – 2 Sep 2016, Sanya, PRC</w:t>
      </w:r>
      <w:r w:rsidR="003C51A7">
        <w:rPr>
          <w:lang w:eastAsia="zh-TW"/>
        </w:rPr>
        <w:t xml:space="preserve"> [</w:t>
      </w:r>
      <w:r w:rsidR="003C51A7" w:rsidRPr="003C51A7">
        <w:rPr>
          <w:i/>
          <w:lang w:eastAsia="zh-TW"/>
        </w:rPr>
        <w:t>Agreed</w:t>
      </w:r>
      <w:r w:rsidR="003C51A7">
        <w:rPr>
          <w:lang w:eastAsia="zh-TW"/>
        </w:rPr>
        <w:t>]</w:t>
      </w:r>
      <w:bookmarkEnd w:id="10"/>
    </w:p>
    <w:sectPr w:rsidR="002C6E5E" w:rsidSect="008D6DB5">
      <w:footerReference w:type="default" r:id="rId10"/>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195" w:rsidRDefault="00200195" w:rsidP="00975D02">
      <w:pPr>
        <w:spacing w:after="0" w:line="240" w:lineRule="auto"/>
      </w:pPr>
      <w:r>
        <w:separator/>
      </w:r>
    </w:p>
  </w:endnote>
  <w:endnote w:type="continuationSeparator" w:id="0">
    <w:p w:rsidR="00200195" w:rsidRDefault="00200195" w:rsidP="00975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7E9" w:rsidRDefault="00717CD0" w:rsidP="00B7707E">
    <w:pPr>
      <w:pStyle w:val="ab"/>
      <w:pBdr>
        <w:top w:val="single" w:sz="8" w:space="1" w:color="4F81BD" w:themeColor="accent1"/>
      </w:pBdr>
      <w:tabs>
        <w:tab w:val="clear" w:pos="4986"/>
        <w:tab w:val="clear" w:pos="9972"/>
        <w:tab w:val="center" w:pos="5040"/>
        <w:tab w:val="right" w:pos="10080"/>
      </w:tabs>
    </w:pPr>
    <w:r>
      <w:rPr>
        <w:rFonts w:cs="Arial"/>
        <w:sz w:val="24"/>
        <w:szCs w:val="24"/>
      </w:rPr>
      <w:t>RP</w:t>
    </w:r>
    <w:r w:rsidR="009E4D23" w:rsidRPr="00B7707E">
      <w:rPr>
        <w:rFonts w:cs="Arial"/>
        <w:sz w:val="24"/>
        <w:szCs w:val="24"/>
      </w:rPr>
      <w:t>-</w:t>
    </w:r>
    <w:r>
      <w:rPr>
        <w:rFonts w:cs="Arial"/>
        <w:sz w:val="24"/>
        <w:szCs w:val="24"/>
      </w:rPr>
      <w:t>161737</w:t>
    </w:r>
    <w:r w:rsidR="007567E9">
      <w:t xml:space="preserve"> </w:t>
    </w:r>
    <w:r w:rsidR="007567E9">
      <w:tab/>
    </w:r>
    <w:sdt>
      <w:sdtPr>
        <w:alias w:val="Title"/>
        <w:id w:val="186512066"/>
        <w:placeholder>
          <w:docPart w:val="402E4A1FDE3142988B067BC8802C69C8"/>
        </w:placeholder>
        <w:dataBinding w:prefixMappings="xmlns:ns0='http://purl.org/dc/elements/1.1/' xmlns:ns1='http://schemas.openxmlformats.org/package/2006/metadata/core-properties' " w:xpath="/ns1:coreProperties[1]/ns0:title[1]" w:storeItemID="{6C3C8BC8-F283-45AE-878A-BAB7291924A1}"/>
        <w:text/>
      </w:sdtPr>
      <w:sdtContent>
        <w:r w:rsidR="00200195">
          <w:rPr>
            <w:lang w:val="en-GB"/>
          </w:rPr>
          <w:t>NextGen/NR Migration and UE Capabilities</w:t>
        </w:r>
      </w:sdtContent>
    </w:sdt>
    <w:r w:rsidR="007567E9">
      <w:tab/>
    </w:r>
    <w:fldSimple w:instr=" PAGE    \* MERGEFORMAT ">
      <w:r w:rsidR="003E6EE7">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195" w:rsidRDefault="00200195" w:rsidP="00975D02">
      <w:pPr>
        <w:spacing w:after="0" w:line="240" w:lineRule="auto"/>
      </w:pPr>
      <w:r>
        <w:separator/>
      </w:r>
    </w:p>
  </w:footnote>
  <w:footnote w:type="continuationSeparator" w:id="0">
    <w:p w:rsidR="00200195" w:rsidRDefault="00200195" w:rsidP="00975D02">
      <w:pPr>
        <w:spacing w:after="0" w:line="240" w:lineRule="auto"/>
      </w:pPr>
      <w:r>
        <w:continuationSeparator/>
      </w:r>
    </w:p>
  </w:footnote>
  <w:footnote w:id="1">
    <w:p w:rsidR="003C51A7" w:rsidRPr="003C51A7" w:rsidRDefault="003C51A7">
      <w:pPr>
        <w:pStyle w:val="a6"/>
      </w:pPr>
      <w:r>
        <w:rPr>
          <w:rStyle w:val="a8"/>
        </w:rPr>
        <w:footnoteRef/>
      </w:r>
      <w:r>
        <w:t xml:space="preserve"> </w:t>
      </w:r>
      <w:r w:rsidRPr="003C51A7">
        <w:t xml:space="preserve">Note interim agreements have been reached at SA2#116bis </w:t>
      </w:r>
      <w:r w:rsidR="00361A82">
        <w:fldChar w:fldCharType="begin"/>
      </w:r>
      <w:r w:rsidR="00423A05">
        <w:instrText xml:space="preserve"> REF _Ref461166845 \r \h </w:instrText>
      </w:r>
      <w:r w:rsidR="00361A82">
        <w:fldChar w:fldCharType="separate"/>
      </w:r>
      <w:r w:rsidR="00423A05">
        <w:t>[8]</w:t>
      </w:r>
      <w:r w:rsidR="00361A82">
        <w:fldChar w:fldCharType="end"/>
      </w:r>
      <w:r w:rsidR="00423A05">
        <w:t xml:space="preserve"> </w:t>
      </w:r>
      <w:r>
        <w:t>based on</w:t>
      </w:r>
      <w:r w:rsidR="00423A05">
        <w:t xml:space="preserve"> proposals </w:t>
      </w:r>
      <w:r>
        <w:t xml:space="preserve">in </w:t>
      </w:r>
      <w:r w:rsidR="00361A82">
        <w:fldChar w:fldCharType="begin"/>
      </w:r>
      <w:r>
        <w:instrText xml:space="preserve"> REF _Ref461166852 \r \h </w:instrText>
      </w:r>
      <w:r w:rsidR="00361A82">
        <w:fldChar w:fldCharType="separate"/>
      </w:r>
      <w:r>
        <w:t>[6]</w:t>
      </w:r>
      <w:r w:rsidR="00361A82">
        <w:fldChar w:fldCharType="end"/>
      </w:r>
      <w:r w:rsidR="00361A82">
        <w:fldChar w:fldCharType="begin"/>
      </w:r>
      <w:r w:rsidR="00423A05">
        <w:instrText xml:space="preserve"> REF _Ref461167058 \r \h </w:instrText>
      </w:r>
      <w:r w:rsidR="00361A82">
        <w:fldChar w:fldCharType="separate"/>
      </w:r>
      <w:r w:rsidR="00423A05">
        <w:t>[7]</w:t>
      </w:r>
      <w:r w:rsidR="00361A82">
        <w:fldChar w:fldCharType="end"/>
      </w:r>
      <w:r w:rsidR="00423A05">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5324"/>
    <w:multiLevelType w:val="hybridMultilevel"/>
    <w:tmpl w:val="33722E6E"/>
    <w:lvl w:ilvl="0" w:tplc="7D06BF32">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E12ACC"/>
    <w:multiLevelType w:val="hybridMultilevel"/>
    <w:tmpl w:val="279E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46FB0"/>
    <w:multiLevelType w:val="hybridMultilevel"/>
    <w:tmpl w:val="24D0A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9B080B"/>
    <w:multiLevelType w:val="multilevel"/>
    <w:tmpl w:val="DDD2576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4">
    <w:nsid w:val="2593414D"/>
    <w:multiLevelType w:val="hybridMultilevel"/>
    <w:tmpl w:val="B70A8BF0"/>
    <w:lvl w:ilvl="0" w:tplc="421213E6">
      <w:start w:val="1"/>
      <w:numFmt w:val="upperLetter"/>
      <w:pStyle w:val="Appendix"/>
      <w:lvlText w:val="Appendix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193D3B"/>
    <w:multiLevelType w:val="hybridMultilevel"/>
    <w:tmpl w:val="9EE64760"/>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
    <w:nsid w:val="29892024"/>
    <w:multiLevelType w:val="multilevel"/>
    <w:tmpl w:val="1706B4A6"/>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504"/>
        </w:tabs>
        <w:ind w:left="504" w:hanging="504"/>
      </w:pPr>
      <w:rPr>
        <w:rFonts w:hint="default"/>
      </w:rPr>
    </w:lvl>
    <w:lvl w:ilvl="2">
      <w:start w:val="1"/>
      <w:numFmt w:val="decimal"/>
      <w:pStyle w:val="3"/>
      <w:lvlText w:val="%1.%2.%3"/>
      <w:lvlJc w:val="left"/>
      <w:pPr>
        <w:tabs>
          <w:tab w:val="num" w:pos="504"/>
        </w:tabs>
        <w:ind w:left="504" w:hanging="504"/>
      </w:pPr>
      <w:rPr>
        <w:rFonts w:hint="default"/>
      </w:rPr>
    </w:lvl>
    <w:lvl w:ilvl="3">
      <w:start w:val="1"/>
      <w:numFmt w:val="decimal"/>
      <w:pStyle w:val="4"/>
      <w:lvlText w:val="%1.%2.%3.%4"/>
      <w:lvlJc w:val="left"/>
      <w:pPr>
        <w:tabs>
          <w:tab w:val="num" w:pos="504"/>
        </w:tabs>
        <w:ind w:left="504" w:hanging="504"/>
      </w:pPr>
      <w:rPr>
        <w:rFonts w:hint="default"/>
      </w:rPr>
    </w:lvl>
    <w:lvl w:ilvl="4">
      <w:start w:val="1"/>
      <w:numFmt w:val="decimal"/>
      <w:pStyle w:val="5"/>
      <w:lvlText w:val="%1.%2.%3.%4.%5"/>
      <w:lvlJc w:val="left"/>
      <w:pPr>
        <w:tabs>
          <w:tab w:val="num" w:pos="504"/>
        </w:tabs>
        <w:ind w:left="504" w:hanging="504"/>
      </w:pPr>
      <w:rPr>
        <w:rFonts w:hint="default"/>
      </w:rPr>
    </w:lvl>
    <w:lvl w:ilvl="5">
      <w:start w:val="1"/>
      <w:numFmt w:val="decimal"/>
      <w:pStyle w:val="6"/>
      <w:lvlText w:val="%1.%2.%3.%4.%5.%6"/>
      <w:lvlJc w:val="left"/>
      <w:pPr>
        <w:tabs>
          <w:tab w:val="num" w:pos="504"/>
        </w:tabs>
        <w:ind w:left="504" w:hanging="504"/>
      </w:pPr>
      <w:rPr>
        <w:rFonts w:hint="default"/>
      </w:rPr>
    </w:lvl>
    <w:lvl w:ilvl="6">
      <w:start w:val="1"/>
      <w:numFmt w:val="decimal"/>
      <w:pStyle w:val="7"/>
      <w:lvlText w:val="%1.%2.%3.%4.%5.%6.%7"/>
      <w:lvlJc w:val="left"/>
      <w:pPr>
        <w:tabs>
          <w:tab w:val="num" w:pos="504"/>
        </w:tabs>
        <w:ind w:left="504" w:hanging="504"/>
      </w:pPr>
      <w:rPr>
        <w:rFonts w:hint="default"/>
      </w:rPr>
    </w:lvl>
    <w:lvl w:ilvl="7">
      <w:start w:val="1"/>
      <w:numFmt w:val="decimal"/>
      <w:pStyle w:val="8"/>
      <w:lvlText w:val="%1.%2.%3.%4.%5.%6.%7.%8"/>
      <w:lvlJc w:val="left"/>
      <w:pPr>
        <w:tabs>
          <w:tab w:val="num" w:pos="504"/>
        </w:tabs>
        <w:ind w:left="504" w:hanging="504"/>
      </w:pPr>
      <w:rPr>
        <w:rFonts w:hint="default"/>
      </w:rPr>
    </w:lvl>
    <w:lvl w:ilvl="8">
      <w:start w:val="1"/>
      <w:numFmt w:val="decimal"/>
      <w:pStyle w:val="9"/>
      <w:lvlText w:val="%1.%2.%3.%4.%5.%6.%7.%8.%9"/>
      <w:lvlJc w:val="left"/>
      <w:pPr>
        <w:tabs>
          <w:tab w:val="num" w:pos="504"/>
        </w:tabs>
        <w:ind w:left="504" w:hanging="504"/>
      </w:pPr>
      <w:rPr>
        <w:rFonts w:hint="default"/>
      </w:rPr>
    </w:lvl>
  </w:abstractNum>
  <w:abstractNum w:abstractNumId="7">
    <w:nsid w:val="2EEB24DA"/>
    <w:multiLevelType w:val="hybridMultilevel"/>
    <w:tmpl w:val="1292B0AE"/>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8">
    <w:nsid w:val="37015FE2"/>
    <w:multiLevelType w:val="hybridMultilevel"/>
    <w:tmpl w:val="844CD6A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39583416"/>
    <w:multiLevelType w:val="hybridMultilevel"/>
    <w:tmpl w:val="E1D2C5E8"/>
    <w:lvl w:ilvl="0" w:tplc="11A09D6C">
      <w:start w:val="1"/>
      <w:numFmt w:val="decimal"/>
      <w:pStyle w:val="Reference"/>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C0A7DBC"/>
    <w:multiLevelType w:val="multilevel"/>
    <w:tmpl w:val="42C054BE"/>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11">
    <w:nsid w:val="3C7D36CC"/>
    <w:multiLevelType w:val="hybridMultilevel"/>
    <w:tmpl w:val="C136D23E"/>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01A3BB5"/>
    <w:multiLevelType w:val="hybridMultilevel"/>
    <w:tmpl w:val="AF700B8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3">
    <w:nsid w:val="55304E1D"/>
    <w:multiLevelType w:val="hybridMultilevel"/>
    <w:tmpl w:val="040CB4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63B73290"/>
    <w:multiLevelType w:val="hybridMultilevel"/>
    <w:tmpl w:val="E184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944275"/>
    <w:multiLevelType w:val="hybridMultilevel"/>
    <w:tmpl w:val="AA8C55E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5C03067"/>
    <w:multiLevelType w:val="hybridMultilevel"/>
    <w:tmpl w:val="57A4AD2E"/>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17">
    <w:nsid w:val="6A550DBE"/>
    <w:multiLevelType w:val="hybridMultilevel"/>
    <w:tmpl w:val="C92C2354"/>
    <w:lvl w:ilvl="0" w:tplc="991684F2">
      <w:start w:val="1"/>
      <w:numFmt w:val="decimal"/>
      <w:pStyle w:val="Proposal"/>
      <w:lvlText w:val="Proposal %1:"/>
      <w:lvlJc w:val="left"/>
      <w:pPr>
        <w:ind w:left="180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BD226CB"/>
    <w:multiLevelType w:val="hybridMultilevel"/>
    <w:tmpl w:val="D978532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73222F2D"/>
    <w:multiLevelType w:val="hybridMultilevel"/>
    <w:tmpl w:val="22A21FE0"/>
    <w:lvl w:ilvl="0" w:tplc="0409000F">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9C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EFF4F1A"/>
    <w:multiLevelType w:val="hybridMultilevel"/>
    <w:tmpl w:val="AB2A08B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9"/>
  </w:num>
  <w:num w:numId="7">
    <w:abstractNumId w:val="12"/>
  </w:num>
  <w:num w:numId="8">
    <w:abstractNumId w:val="20"/>
  </w:num>
  <w:num w:numId="9">
    <w:abstractNumId w:val="11"/>
  </w:num>
  <w:num w:numId="10">
    <w:abstractNumId w:val="19"/>
  </w:num>
  <w:num w:numId="11">
    <w:abstractNumId w:val="14"/>
  </w:num>
  <w:num w:numId="12">
    <w:abstractNumId w:val="1"/>
  </w:num>
  <w:num w:numId="13">
    <w:abstractNumId w:val="2"/>
  </w:num>
  <w:num w:numId="14">
    <w:abstractNumId w:val="10"/>
  </w:num>
  <w:num w:numId="15">
    <w:abstractNumId w:val="0"/>
  </w:num>
  <w:num w:numId="16">
    <w:abstractNumId w:val="6"/>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4"/>
  </w:num>
  <w:num w:numId="21">
    <w:abstractNumId w:val="8"/>
  </w:num>
  <w:num w:numId="22">
    <w:abstractNumId w:val="5"/>
  </w:num>
  <w:num w:numId="23">
    <w:abstractNumId w:val="16"/>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ttachedTemplate r:id="rId1"/>
  <w:stylePaneFormatFilter w:val="1001"/>
  <w:defaultTabStop w:val="720"/>
  <w:drawingGridHorizontalSpacing w:val="110"/>
  <w:displayHorizontalDrawingGridEvery w:val="2"/>
  <w:characterSpacingControl w:val="doNotCompress"/>
  <w:hdrShapeDefaults>
    <o:shapedefaults v:ext="edit" spidmax="27649"/>
  </w:hdrShapeDefaults>
  <w:footnotePr>
    <w:footnote w:id="-1"/>
    <w:footnote w:id="0"/>
  </w:footnotePr>
  <w:endnotePr>
    <w:endnote w:id="-1"/>
    <w:endnote w:id="0"/>
  </w:endnotePr>
  <w:compat>
    <w:useFELayout/>
  </w:compat>
  <w:rsids>
    <w:rsidRoot w:val="00571123"/>
    <w:rsid w:val="0001454A"/>
    <w:rsid w:val="00017BDE"/>
    <w:rsid w:val="00021D61"/>
    <w:rsid w:val="00025F12"/>
    <w:rsid w:val="000666B4"/>
    <w:rsid w:val="0007376E"/>
    <w:rsid w:val="00073CF9"/>
    <w:rsid w:val="00074E30"/>
    <w:rsid w:val="001226B0"/>
    <w:rsid w:val="001500C5"/>
    <w:rsid w:val="001879BE"/>
    <w:rsid w:val="001A788E"/>
    <w:rsid w:val="00200195"/>
    <w:rsid w:val="00200966"/>
    <w:rsid w:val="00230EB7"/>
    <w:rsid w:val="00234814"/>
    <w:rsid w:val="0024172B"/>
    <w:rsid w:val="00243B34"/>
    <w:rsid w:val="002532ED"/>
    <w:rsid w:val="0026097E"/>
    <w:rsid w:val="002810ED"/>
    <w:rsid w:val="002A43A7"/>
    <w:rsid w:val="002A6F78"/>
    <w:rsid w:val="002B4A26"/>
    <w:rsid w:val="002C36BE"/>
    <w:rsid w:val="002C6E5E"/>
    <w:rsid w:val="002F1351"/>
    <w:rsid w:val="002F2F73"/>
    <w:rsid w:val="003048FB"/>
    <w:rsid w:val="003073B1"/>
    <w:rsid w:val="00307D4C"/>
    <w:rsid w:val="0032030D"/>
    <w:rsid w:val="00361A82"/>
    <w:rsid w:val="00394B80"/>
    <w:rsid w:val="003A704B"/>
    <w:rsid w:val="003A7366"/>
    <w:rsid w:val="003C51A7"/>
    <w:rsid w:val="003E6EE7"/>
    <w:rsid w:val="00421A76"/>
    <w:rsid w:val="00423A05"/>
    <w:rsid w:val="004B2DA3"/>
    <w:rsid w:val="004E09B4"/>
    <w:rsid w:val="00514F64"/>
    <w:rsid w:val="00571123"/>
    <w:rsid w:val="00572BA1"/>
    <w:rsid w:val="005A22B5"/>
    <w:rsid w:val="005A34C1"/>
    <w:rsid w:val="005B6EC7"/>
    <w:rsid w:val="006013BE"/>
    <w:rsid w:val="00602022"/>
    <w:rsid w:val="006042CB"/>
    <w:rsid w:val="006275FF"/>
    <w:rsid w:val="0064527E"/>
    <w:rsid w:val="00671948"/>
    <w:rsid w:val="0067742C"/>
    <w:rsid w:val="00692D62"/>
    <w:rsid w:val="00697105"/>
    <w:rsid w:val="006A295C"/>
    <w:rsid w:val="006A7545"/>
    <w:rsid w:val="006D5019"/>
    <w:rsid w:val="00701D20"/>
    <w:rsid w:val="007106A8"/>
    <w:rsid w:val="00713691"/>
    <w:rsid w:val="00715505"/>
    <w:rsid w:val="00717CD0"/>
    <w:rsid w:val="007539AB"/>
    <w:rsid w:val="007567E9"/>
    <w:rsid w:val="007572CF"/>
    <w:rsid w:val="00777E9C"/>
    <w:rsid w:val="007B02A0"/>
    <w:rsid w:val="007B5EFB"/>
    <w:rsid w:val="007D177A"/>
    <w:rsid w:val="007D5C30"/>
    <w:rsid w:val="00822776"/>
    <w:rsid w:val="00822D09"/>
    <w:rsid w:val="0084597C"/>
    <w:rsid w:val="00845B32"/>
    <w:rsid w:val="0085109C"/>
    <w:rsid w:val="008650D8"/>
    <w:rsid w:val="008766ED"/>
    <w:rsid w:val="008A46F8"/>
    <w:rsid w:val="008D6DB5"/>
    <w:rsid w:val="008E68B2"/>
    <w:rsid w:val="009059A8"/>
    <w:rsid w:val="0091235D"/>
    <w:rsid w:val="00916C0D"/>
    <w:rsid w:val="00922285"/>
    <w:rsid w:val="009242E9"/>
    <w:rsid w:val="009261FA"/>
    <w:rsid w:val="009457A5"/>
    <w:rsid w:val="00975D02"/>
    <w:rsid w:val="00991C3B"/>
    <w:rsid w:val="009C2640"/>
    <w:rsid w:val="009E18A0"/>
    <w:rsid w:val="009E4D23"/>
    <w:rsid w:val="009F236E"/>
    <w:rsid w:val="00A16C9A"/>
    <w:rsid w:val="00A25DD2"/>
    <w:rsid w:val="00A845FB"/>
    <w:rsid w:val="00A96F86"/>
    <w:rsid w:val="00AB1ECC"/>
    <w:rsid w:val="00AC2460"/>
    <w:rsid w:val="00AD3377"/>
    <w:rsid w:val="00B14763"/>
    <w:rsid w:val="00B1710A"/>
    <w:rsid w:val="00B235FB"/>
    <w:rsid w:val="00B53A62"/>
    <w:rsid w:val="00B61197"/>
    <w:rsid w:val="00B7707E"/>
    <w:rsid w:val="00BD280C"/>
    <w:rsid w:val="00BE27D2"/>
    <w:rsid w:val="00C30BDF"/>
    <w:rsid w:val="00C34CCF"/>
    <w:rsid w:val="00CC7C14"/>
    <w:rsid w:val="00CD73DE"/>
    <w:rsid w:val="00D14CB2"/>
    <w:rsid w:val="00D266F7"/>
    <w:rsid w:val="00D35966"/>
    <w:rsid w:val="00D37F90"/>
    <w:rsid w:val="00D41472"/>
    <w:rsid w:val="00D507E2"/>
    <w:rsid w:val="00D723C8"/>
    <w:rsid w:val="00DB4E93"/>
    <w:rsid w:val="00E037B3"/>
    <w:rsid w:val="00E46F5C"/>
    <w:rsid w:val="00E7638A"/>
    <w:rsid w:val="00ED5BB3"/>
    <w:rsid w:val="00EF5A7D"/>
    <w:rsid w:val="00F244E1"/>
    <w:rsid w:val="00F57B29"/>
    <w:rsid w:val="00F73B5A"/>
    <w:rsid w:val="00FC357D"/>
    <w:rsid w:val="00FC701C"/>
    <w:rsid w:val="00FE581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35966"/>
  </w:style>
  <w:style w:type="paragraph" w:styleId="1">
    <w:name w:val="heading 1"/>
    <w:basedOn w:val="a"/>
    <w:next w:val="Body"/>
    <w:link w:val="10"/>
    <w:uiPriority w:val="9"/>
    <w:rsid w:val="001500C5"/>
    <w:pPr>
      <w:keepNext/>
      <w:keepLines/>
      <w:numPr>
        <w:numId w:val="16"/>
      </w:numPr>
      <w:tabs>
        <w:tab w:val="clear" w:pos="504"/>
      </w:tabs>
      <w:spacing w:before="240" w:after="240" w:line="240" w:lineRule="auto"/>
      <w:ind w:left="450" w:hanging="450"/>
      <w:outlineLvl w:val="0"/>
    </w:pPr>
    <w:rPr>
      <w:rFonts w:eastAsiaTheme="majorEastAsia" w:cstheme="majorBidi"/>
      <w:b/>
      <w:bCs/>
      <w:sz w:val="28"/>
      <w:szCs w:val="28"/>
    </w:rPr>
  </w:style>
  <w:style w:type="paragraph" w:styleId="2">
    <w:name w:val="heading 2"/>
    <w:basedOn w:val="1"/>
    <w:next w:val="Body"/>
    <w:link w:val="20"/>
    <w:uiPriority w:val="9"/>
    <w:unhideWhenUsed/>
    <w:rsid w:val="001500C5"/>
    <w:pPr>
      <w:numPr>
        <w:ilvl w:val="1"/>
      </w:numPr>
      <w:tabs>
        <w:tab w:val="clear" w:pos="504"/>
      </w:tabs>
      <w:ind w:left="450" w:hanging="450"/>
      <w:outlineLvl w:val="1"/>
    </w:pPr>
    <w:rPr>
      <w:color w:val="000000" w:themeColor="text1"/>
      <w:szCs w:val="26"/>
    </w:rPr>
  </w:style>
  <w:style w:type="paragraph" w:styleId="3">
    <w:name w:val="heading 3"/>
    <w:basedOn w:val="1"/>
    <w:next w:val="Body"/>
    <w:link w:val="30"/>
    <w:uiPriority w:val="9"/>
    <w:unhideWhenUsed/>
    <w:rsid w:val="001500C5"/>
    <w:pPr>
      <w:numPr>
        <w:ilvl w:val="2"/>
      </w:numPr>
      <w:tabs>
        <w:tab w:val="clear" w:pos="504"/>
      </w:tabs>
      <w:ind w:left="720" w:hanging="720"/>
      <w:outlineLvl w:val="2"/>
    </w:pPr>
  </w:style>
  <w:style w:type="paragraph" w:styleId="4">
    <w:name w:val="heading 4"/>
    <w:basedOn w:val="1"/>
    <w:next w:val="Body"/>
    <w:link w:val="40"/>
    <w:uiPriority w:val="9"/>
    <w:unhideWhenUsed/>
    <w:rsid w:val="001500C5"/>
    <w:pPr>
      <w:numPr>
        <w:ilvl w:val="3"/>
      </w:numPr>
      <w:tabs>
        <w:tab w:val="clear" w:pos="504"/>
      </w:tabs>
      <w:ind w:left="990" w:hanging="990"/>
      <w:outlineLvl w:val="3"/>
    </w:pPr>
    <w:rPr>
      <w:b w:val="0"/>
      <w:bCs w:val="0"/>
      <w:iCs/>
      <w:color w:val="000000" w:themeColor="text1"/>
    </w:rPr>
  </w:style>
  <w:style w:type="paragraph" w:styleId="5">
    <w:name w:val="heading 5"/>
    <w:basedOn w:val="1"/>
    <w:next w:val="Body"/>
    <w:link w:val="50"/>
    <w:uiPriority w:val="9"/>
    <w:unhideWhenUsed/>
    <w:rsid w:val="001500C5"/>
    <w:pPr>
      <w:numPr>
        <w:ilvl w:val="4"/>
      </w:numPr>
      <w:tabs>
        <w:tab w:val="clear" w:pos="504"/>
      </w:tabs>
      <w:ind w:left="1170" w:hanging="1170"/>
      <w:outlineLvl w:val="4"/>
    </w:pPr>
    <w:rPr>
      <w:b w:val="0"/>
    </w:rPr>
  </w:style>
  <w:style w:type="paragraph" w:styleId="6">
    <w:name w:val="heading 6"/>
    <w:basedOn w:val="1"/>
    <w:next w:val="Body"/>
    <w:link w:val="60"/>
    <w:uiPriority w:val="9"/>
    <w:unhideWhenUsed/>
    <w:qFormat/>
    <w:rsid w:val="00713691"/>
    <w:pPr>
      <w:numPr>
        <w:ilvl w:val="5"/>
      </w:numPr>
      <w:tabs>
        <w:tab w:val="clear" w:pos="504"/>
      </w:tabs>
      <w:ind w:left="1354" w:hanging="1354"/>
      <w:outlineLvl w:val="5"/>
    </w:pPr>
    <w:rPr>
      <w:b w:val="0"/>
      <w:iCs/>
    </w:rPr>
  </w:style>
  <w:style w:type="paragraph" w:styleId="7">
    <w:name w:val="heading 7"/>
    <w:basedOn w:val="6"/>
    <w:next w:val="Body"/>
    <w:link w:val="70"/>
    <w:uiPriority w:val="9"/>
    <w:unhideWhenUsed/>
    <w:rsid w:val="00713691"/>
    <w:pPr>
      <w:numPr>
        <w:ilvl w:val="6"/>
      </w:numPr>
      <w:tabs>
        <w:tab w:val="clear" w:pos="504"/>
      </w:tabs>
      <w:ind w:left="1627" w:hanging="1627"/>
      <w:outlineLvl w:val="6"/>
    </w:pPr>
  </w:style>
  <w:style w:type="paragraph" w:styleId="8">
    <w:name w:val="heading 8"/>
    <w:basedOn w:val="a"/>
    <w:next w:val="a"/>
    <w:link w:val="80"/>
    <w:uiPriority w:val="9"/>
    <w:semiHidden/>
    <w:unhideWhenUsed/>
    <w:qFormat/>
    <w:rsid w:val="009E18A0"/>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E18A0"/>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22D09"/>
    <w:rPr>
      <w:color w:val="0000FF" w:themeColor="hyperlink"/>
      <w:u w:val="single"/>
    </w:rPr>
  </w:style>
  <w:style w:type="paragraph" w:customStyle="1" w:styleId="Reference">
    <w:name w:val="Reference"/>
    <w:basedOn w:val="a"/>
    <w:rsid w:val="00713691"/>
    <w:pPr>
      <w:numPr>
        <w:numId w:val="6"/>
      </w:numPr>
    </w:pPr>
  </w:style>
  <w:style w:type="paragraph" w:styleId="a4">
    <w:name w:val="Title"/>
    <w:basedOn w:val="a"/>
    <w:next w:val="a"/>
    <w:link w:val="a5"/>
    <w:uiPriority w:val="10"/>
    <w:rsid w:val="00713691"/>
    <w:pPr>
      <w:spacing w:after="300" w:line="240" w:lineRule="auto"/>
      <w:contextualSpacing/>
      <w:jc w:val="center"/>
    </w:pPr>
    <w:rPr>
      <w:rFonts w:eastAsiaTheme="majorEastAsia" w:cstheme="majorBidi"/>
      <w:b/>
      <w:color w:val="000000" w:themeColor="text1"/>
      <w:spacing w:val="5"/>
      <w:kern w:val="28"/>
      <w:sz w:val="52"/>
      <w:szCs w:val="52"/>
    </w:rPr>
  </w:style>
  <w:style w:type="character" w:customStyle="1" w:styleId="a5">
    <w:name w:val="標題 字元"/>
    <w:basedOn w:val="a0"/>
    <w:link w:val="a4"/>
    <w:uiPriority w:val="10"/>
    <w:rsid w:val="00713691"/>
    <w:rPr>
      <w:rFonts w:eastAsiaTheme="majorEastAsia" w:cstheme="majorBidi"/>
      <w:b/>
      <w:color w:val="000000" w:themeColor="text1"/>
      <w:spacing w:val="5"/>
      <w:kern w:val="28"/>
      <w:sz w:val="52"/>
      <w:szCs w:val="52"/>
    </w:rPr>
  </w:style>
  <w:style w:type="paragraph" w:styleId="a6">
    <w:name w:val="footnote text"/>
    <w:basedOn w:val="a"/>
    <w:link w:val="a7"/>
    <w:uiPriority w:val="99"/>
    <w:semiHidden/>
    <w:unhideWhenUsed/>
    <w:rsid w:val="00975D02"/>
    <w:pPr>
      <w:spacing w:after="0" w:line="240" w:lineRule="auto"/>
    </w:pPr>
    <w:rPr>
      <w:sz w:val="20"/>
      <w:szCs w:val="20"/>
    </w:rPr>
  </w:style>
  <w:style w:type="character" w:customStyle="1" w:styleId="a7">
    <w:name w:val="註腳文字 字元"/>
    <w:basedOn w:val="a0"/>
    <w:link w:val="a6"/>
    <w:uiPriority w:val="99"/>
    <w:semiHidden/>
    <w:rsid w:val="00975D02"/>
    <w:rPr>
      <w:sz w:val="20"/>
      <w:szCs w:val="20"/>
    </w:rPr>
  </w:style>
  <w:style w:type="character" w:styleId="a8">
    <w:name w:val="footnote reference"/>
    <w:basedOn w:val="a0"/>
    <w:uiPriority w:val="99"/>
    <w:semiHidden/>
    <w:unhideWhenUsed/>
    <w:rsid w:val="00975D02"/>
    <w:rPr>
      <w:vertAlign w:val="superscript"/>
    </w:rPr>
  </w:style>
  <w:style w:type="character" w:customStyle="1" w:styleId="10">
    <w:name w:val="標題 1 字元"/>
    <w:basedOn w:val="a0"/>
    <w:link w:val="1"/>
    <w:uiPriority w:val="9"/>
    <w:rsid w:val="001500C5"/>
    <w:rPr>
      <w:rFonts w:eastAsiaTheme="majorEastAsia" w:cstheme="majorBidi"/>
      <w:b/>
      <w:bCs/>
      <w:sz w:val="28"/>
      <w:szCs w:val="28"/>
    </w:rPr>
  </w:style>
  <w:style w:type="character" w:customStyle="1" w:styleId="20">
    <w:name w:val="標題 2 字元"/>
    <w:basedOn w:val="a0"/>
    <w:link w:val="2"/>
    <w:uiPriority w:val="9"/>
    <w:rsid w:val="001500C5"/>
    <w:rPr>
      <w:rFonts w:eastAsiaTheme="majorEastAsia" w:cstheme="majorBidi"/>
      <w:b/>
      <w:bCs/>
      <w:color w:val="000000" w:themeColor="text1"/>
      <w:sz w:val="28"/>
      <w:szCs w:val="26"/>
    </w:rPr>
  </w:style>
  <w:style w:type="character" w:customStyle="1" w:styleId="30">
    <w:name w:val="標題 3 字元"/>
    <w:basedOn w:val="a0"/>
    <w:link w:val="3"/>
    <w:uiPriority w:val="9"/>
    <w:rsid w:val="001500C5"/>
    <w:rPr>
      <w:rFonts w:eastAsiaTheme="majorEastAsia" w:cstheme="majorBidi"/>
      <w:b/>
      <w:bCs/>
      <w:sz w:val="28"/>
      <w:szCs w:val="28"/>
    </w:rPr>
  </w:style>
  <w:style w:type="paragraph" w:styleId="a9">
    <w:name w:val="header"/>
    <w:basedOn w:val="a"/>
    <w:link w:val="aa"/>
    <w:uiPriority w:val="99"/>
    <w:semiHidden/>
    <w:unhideWhenUsed/>
    <w:rsid w:val="006275FF"/>
    <w:pPr>
      <w:tabs>
        <w:tab w:val="center" w:pos="4986"/>
        <w:tab w:val="right" w:pos="9972"/>
      </w:tabs>
      <w:spacing w:after="0" w:line="240" w:lineRule="auto"/>
    </w:pPr>
  </w:style>
  <w:style w:type="character" w:customStyle="1" w:styleId="aa">
    <w:name w:val="頁首 字元"/>
    <w:basedOn w:val="a0"/>
    <w:link w:val="a9"/>
    <w:uiPriority w:val="99"/>
    <w:semiHidden/>
    <w:rsid w:val="006275FF"/>
  </w:style>
  <w:style w:type="paragraph" w:styleId="ab">
    <w:name w:val="footer"/>
    <w:basedOn w:val="a"/>
    <w:link w:val="ac"/>
    <w:uiPriority w:val="99"/>
    <w:semiHidden/>
    <w:unhideWhenUsed/>
    <w:rsid w:val="006275FF"/>
    <w:pPr>
      <w:tabs>
        <w:tab w:val="center" w:pos="4986"/>
        <w:tab w:val="right" w:pos="9972"/>
      </w:tabs>
      <w:spacing w:after="0" w:line="240" w:lineRule="auto"/>
    </w:pPr>
  </w:style>
  <w:style w:type="character" w:customStyle="1" w:styleId="ac">
    <w:name w:val="頁尾 字元"/>
    <w:basedOn w:val="a0"/>
    <w:link w:val="ab"/>
    <w:uiPriority w:val="99"/>
    <w:semiHidden/>
    <w:rsid w:val="006275FF"/>
  </w:style>
  <w:style w:type="paragraph" w:styleId="ad">
    <w:name w:val="Balloon Text"/>
    <w:basedOn w:val="a"/>
    <w:link w:val="ae"/>
    <w:uiPriority w:val="99"/>
    <w:semiHidden/>
    <w:unhideWhenUsed/>
    <w:rsid w:val="00F73B5A"/>
    <w:pPr>
      <w:spacing w:after="0" w:line="240" w:lineRule="auto"/>
    </w:pPr>
    <w:rPr>
      <w:rFonts w:ascii="Tahoma" w:hAnsi="Tahoma" w:cs="Tahoma"/>
      <w:sz w:val="16"/>
      <w:szCs w:val="16"/>
    </w:rPr>
  </w:style>
  <w:style w:type="character" w:customStyle="1" w:styleId="ae">
    <w:name w:val="註解方塊文字 字元"/>
    <w:basedOn w:val="a0"/>
    <w:link w:val="ad"/>
    <w:uiPriority w:val="99"/>
    <w:semiHidden/>
    <w:rsid w:val="00F73B5A"/>
    <w:rPr>
      <w:rFonts w:ascii="Tahoma" w:hAnsi="Tahoma" w:cs="Tahoma"/>
      <w:sz w:val="16"/>
      <w:szCs w:val="16"/>
    </w:rPr>
  </w:style>
  <w:style w:type="character" w:customStyle="1" w:styleId="40">
    <w:name w:val="標題 4 字元"/>
    <w:basedOn w:val="a0"/>
    <w:link w:val="4"/>
    <w:uiPriority w:val="9"/>
    <w:rsid w:val="001500C5"/>
    <w:rPr>
      <w:rFonts w:eastAsiaTheme="majorEastAsia" w:cstheme="majorBidi"/>
      <w:iCs/>
      <w:color w:val="000000" w:themeColor="text1"/>
      <w:sz w:val="28"/>
      <w:szCs w:val="28"/>
    </w:rPr>
  </w:style>
  <w:style w:type="character" w:customStyle="1" w:styleId="50">
    <w:name w:val="標題 5 字元"/>
    <w:basedOn w:val="a0"/>
    <w:link w:val="5"/>
    <w:uiPriority w:val="9"/>
    <w:rsid w:val="001500C5"/>
    <w:rPr>
      <w:rFonts w:eastAsiaTheme="majorEastAsia" w:cstheme="majorBidi"/>
      <w:bCs/>
      <w:sz w:val="28"/>
      <w:szCs w:val="28"/>
    </w:rPr>
  </w:style>
  <w:style w:type="character" w:customStyle="1" w:styleId="60">
    <w:name w:val="標題 6 字元"/>
    <w:basedOn w:val="a0"/>
    <w:link w:val="6"/>
    <w:uiPriority w:val="9"/>
    <w:rsid w:val="00713691"/>
    <w:rPr>
      <w:rFonts w:eastAsiaTheme="majorEastAsia" w:cstheme="majorBidi"/>
      <w:bCs/>
      <w:iCs/>
      <w:sz w:val="28"/>
      <w:szCs w:val="28"/>
    </w:rPr>
  </w:style>
  <w:style w:type="character" w:customStyle="1" w:styleId="70">
    <w:name w:val="標題 7 字元"/>
    <w:basedOn w:val="a0"/>
    <w:link w:val="7"/>
    <w:uiPriority w:val="9"/>
    <w:rsid w:val="00713691"/>
    <w:rPr>
      <w:rFonts w:eastAsiaTheme="majorEastAsia" w:cstheme="majorBidi"/>
      <w:bCs/>
      <w:iCs/>
      <w:sz w:val="28"/>
      <w:szCs w:val="28"/>
    </w:rPr>
  </w:style>
  <w:style w:type="character" w:customStyle="1" w:styleId="80">
    <w:name w:val="標題 8 字元"/>
    <w:basedOn w:val="a0"/>
    <w:link w:val="8"/>
    <w:uiPriority w:val="9"/>
    <w:semiHidden/>
    <w:rsid w:val="009E18A0"/>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semiHidden/>
    <w:rsid w:val="009E18A0"/>
    <w:rPr>
      <w:rFonts w:asciiTheme="majorHAnsi" w:eastAsiaTheme="majorEastAsia" w:hAnsiTheme="majorHAnsi" w:cstheme="majorBidi"/>
      <w:i/>
      <w:iCs/>
      <w:color w:val="404040" w:themeColor="text1" w:themeTint="BF"/>
      <w:sz w:val="20"/>
      <w:szCs w:val="20"/>
    </w:rPr>
  </w:style>
  <w:style w:type="paragraph" w:customStyle="1" w:styleId="Body">
    <w:name w:val="Body"/>
    <w:basedOn w:val="a"/>
    <w:rsid w:val="001500C5"/>
    <w:pPr>
      <w:ind w:left="450"/>
      <w:jc w:val="both"/>
    </w:pPr>
  </w:style>
  <w:style w:type="paragraph" w:customStyle="1" w:styleId="Proposal">
    <w:name w:val="Proposal"/>
    <w:basedOn w:val="a"/>
    <w:next w:val="Body"/>
    <w:rsid w:val="001500C5"/>
    <w:pPr>
      <w:numPr>
        <w:numId w:val="19"/>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1710"/>
      </w:tabs>
      <w:spacing w:line="240" w:lineRule="auto"/>
      <w:ind w:left="450" w:firstLine="0"/>
    </w:pPr>
    <w:rPr>
      <w:color w:val="000000" w:themeColor="text1"/>
      <w:lang w:eastAsia="zh-TW"/>
    </w:rPr>
  </w:style>
  <w:style w:type="paragraph" w:customStyle="1" w:styleId="Appendix">
    <w:name w:val="Appendix"/>
    <w:basedOn w:val="1"/>
    <w:next w:val="Body"/>
    <w:rsid w:val="00200966"/>
    <w:pPr>
      <w:pageBreakBefore/>
      <w:numPr>
        <w:numId w:val="20"/>
      </w:numPr>
    </w:pPr>
    <w:rPr>
      <w:lang w:eastAsia="zh-TW"/>
    </w:rPr>
  </w:style>
  <w:style w:type="character" w:styleId="af">
    <w:name w:val="Placeholder Text"/>
    <w:basedOn w:val="a0"/>
    <w:uiPriority w:val="99"/>
    <w:semiHidden/>
    <w:rsid w:val="007567E9"/>
    <w:rPr>
      <w:color w:val="808080"/>
    </w:rPr>
  </w:style>
  <w:style w:type="character" w:styleId="af0">
    <w:name w:val="FollowedHyperlink"/>
    <w:basedOn w:val="a0"/>
    <w:uiPriority w:val="99"/>
    <w:semiHidden/>
    <w:unhideWhenUsed/>
    <w:rsid w:val="00BD280C"/>
    <w:rPr>
      <w:color w:val="800080" w:themeColor="followedHyperlink"/>
      <w:u w:val="single"/>
    </w:rPr>
  </w:style>
  <w:style w:type="table" w:styleId="af1">
    <w:name w:val="Table Grid"/>
    <w:basedOn w:val="a1"/>
    <w:uiPriority w:val="59"/>
    <w:rsid w:val="00E763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caption"/>
    <w:basedOn w:val="a"/>
    <w:next w:val="a"/>
    <w:uiPriority w:val="35"/>
    <w:unhideWhenUsed/>
    <w:qFormat/>
    <w:rsid w:val="00E7638A"/>
    <w:pPr>
      <w:spacing w:line="240" w:lineRule="auto"/>
    </w:pPr>
    <w:rPr>
      <w:b/>
      <w:bCs/>
      <w:color w:val="4F81BD" w:themeColor="accent1"/>
      <w:sz w:val="18"/>
      <w:szCs w:val="18"/>
    </w:rPr>
  </w:style>
  <w:style w:type="paragraph" w:styleId="Web">
    <w:name w:val="Normal (Web)"/>
    <w:basedOn w:val="a"/>
    <w:uiPriority w:val="99"/>
    <w:unhideWhenUsed/>
    <w:rsid w:val="009457A5"/>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r="http://schemas.openxmlformats.org/officeDocument/2006/relationships" xmlns:w="http://schemas.openxmlformats.org/wordprocessingml/2006/main">
  <w:divs>
    <w:div w:id="392389072">
      <w:bodyDiv w:val="1"/>
      <w:marLeft w:val="0"/>
      <w:marRight w:val="0"/>
      <w:marTop w:val="0"/>
      <w:marBottom w:val="0"/>
      <w:divBdr>
        <w:top w:val="none" w:sz="0" w:space="0" w:color="auto"/>
        <w:left w:val="none" w:sz="0" w:space="0" w:color="auto"/>
        <w:bottom w:val="none" w:sz="0" w:space="0" w:color="auto"/>
        <w:right w:val="none" w:sz="0" w:space="0" w:color="auto"/>
      </w:divBdr>
      <w:divsChild>
        <w:div w:id="1284578763">
          <w:marLeft w:val="1123"/>
          <w:marRight w:val="0"/>
          <w:marTop w:val="0"/>
          <w:marBottom w:val="0"/>
          <w:divBdr>
            <w:top w:val="none" w:sz="0" w:space="0" w:color="auto"/>
            <w:left w:val="none" w:sz="0" w:space="0" w:color="auto"/>
            <w:bottom w:val="none" w:sz="0" w:space="0" w:color="auto"/>
            <w:right w:val="none" w:sz="0" w:space="0" w:color="auto"/>
          </w:divBdr>
        </w:div>
      </w:divsChild>
    </w:div>
    <w:div w:id="569772027">
      <w:bodyDiv w:val="1"/>
      <w:marLeft w:val="0"/>
      <w:marRight w:val="0"/>
      <w:marTop w:val="0"/>
      <w:marBottom w:val="0"/>
      <w:divBdr>
        <w:top w:val="none" w:sz="0" w:space="0" w:color="auto"/>
        <w:left w:val="none" w:sz="0" w:space="0" w:color="auto"/>
        <w:bottom w:val="none" w:sz="0" w:space="0" w:color="auto"/>
        <w:right w:val="none" w:sz="0" w:space="0" w:color="auto"/>
      </w:divBdr>
    </w:div>
    <w:div w:id="68887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ftp/tsg_ran/TSG_RAN/TSGR_72/Docs/RP-1613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20Contribu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FFFC890A44E4244BAA9E5D07B78BC1F"/>
        <w:category>
          <w:name w:val="General"/>
          <w:gallery w:val="placeholder"/>
        </w:category>
        <w:types>
          <w:type w:val="bbPlcHdr"/>
        </w:types>
        <w:behaviors>
          <w:behavior w:val="content"/>
        </w:behaviors>
        <w:guid w:val="{4249BE02-6B9D-4792-B1D9-A806791F546F}"/>
      </w:docPartPr>
      <w:docPartBody>
        <w:p w:rsidR="00BA77CE" w:rsidRDefault="00BA77CE">
          <w:pPr>
            <w:pStyle w:val="0FFFC890A44E4244BAA9E5D07B78BC1F"/>
          </w:pPr>
          <w:r w:rsidRPr="00EF07FB">
            <w:rPr>
              <w:rStyle w:val="a3"/>
            </w:rPr>
            <w:t>[Title]</w:t>
          </w:r>
        </w:p>
      </w:docPartBody>
    </w:docPart>
    <w:docPart>
      <w:docPartPr>
        <w:name w:val="402E4A1FDE3142988B067BC8802C69C8"/>
        <w:category>
          <w:name w:val="General"/>
          <w:gallery w:val="placeholder"/>
        </w:category>
        <w:types>
          <w:type w:val="bbPlcHdr"/>
        </w:types>
        <w:behaviors>
          <w:behavior w:val="content"/>
        </w:behaviors>
        <w:guid w:val="{96DB4F6B-DC2C-4C4A-A9B1-0C3DE268E715}"/>
      </w:docPartPr>
      <w:docPartBody>
        <w:p w:rsidR="00BA77CE" w:rsidRDefault="00BA77CE">
          <w:pPr>
            <w:pStyle w:val="402E4A1FDE3142988B067BC8802C69C8"/>
          </w:pPr>
          <w:r w:rsidRPr="00EF07FB">
            <w:rPr>
              <w:rStyle w:val="a3"/>
            </w:rPr>
            <w:t>[Title]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PMingLiU">
    <w:panose1 w:val="00000000000000000000"/>
    <w:charset w:val="00"/>
    <w:family w:val="roman"/>
    <w:notTrueType/>
    <w:pitch w:val="default"/>
    <w:sig w:usb0="00000000" w:usb1="00000000" w:usb2="00000000" w:usb3="00000000" w:csb0="0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A77CE"/>
    <w:rsid w:val="00390F2E"/>
    <w:rsid w:val="005D1981"/>
    <w:rsid w:val="008D076C"/>
    <w:rsid w:val="00BA77CE"/>
    <w:rsid w:val="00C638A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PMingLiU"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7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A77CE"/>
    <w:rPr>
      <w:color w:val="808080"/>
    </w:rPr>
  </w:style>
  <w:style w:type="paragraph" w:customStyle="1" w:styleId="0FFFC890A44E4244BAA9E5D07B78BC1F">
    <w:name w:val="0FFFC890A44E4244BAA9E5D07B78BC1F"/>
    <w:rsid w:val="00BA77CE"/>
  </w:style>
  <w:style w:type="paragraph" w:customStyle="1" w:styleId="402E4A1FDE3142988B067BC8802C69C8">
    <w:name w:val="402E4A1FDE3142988B067BC8802C69C8"/>
    <w:rsid w:val="00BA77C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40CC27-BF59-4A14-9B20-72D7435777FF}">
  <ds:schemaRefs>
    <ds:schemaRef ds:uri="http://schemas.openxmlformats.org/officeDocument/2006/bibliography"/>
  </ds:schemaRefs>
</ds:datastoreItem>
</file>

<file path=customXml/itemProps2.xml><?xml version="1.0" encoding="utf-8"?>
<ds:datastoreItem xmlns:ds="http://schemas.openxmlformats.org/officeDocument/2006/customXml" ds:itemID="{7C048D2C-C089-4D57-B057-D6E28621E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 Template</Template>
  <TotalTime>5</TotalTime>
  <Pages>4</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NextGen/NR Migration and UE Capabilities</vt:lpstr>
    </vt:vector>
  </TitlesOfParts>
  <Manager>Guillaume SEBIRE</Manager>
  <Company>Mediatek Inc.</Company>
  <LinksUpToDate>false</LinksUpToDate>
  <CharactersWithSpaces>9061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NextGen/NR Migration and UE Capabilities</dc:title>
  <dc:creator>Mediatek</dc:creator>
  <cp:lastModifiedBy>Mediatek</cp:lastModifiedBy>
  <cp:revision>6</cp:revision>
  <dcterms:created xsi:type="dcterms:W3CDTF">2016-09-13T12:00:00Z</dcterms:created>
  <dcterms:modified xsi:type="dcterms:W3CDTF">2016-09-13T12:33:00Z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-2100696433</vt:i4>
  </property>
  <property fmtid="{D5CDD505-2E9C-101B-9397-08002B2CF9AE}" pid="3" name="_NewReviewCycle">
    <vt:lpwstr/>
  </property>
  <property fmtid="{D5CDD505-2E9C-101B-9397-08002B2CF9AE}" pid="4" name="_EmailSubject">
    <vt:lpwstr>[MTK Internal] RE: [NB-LTE Open Issue #11] WID</vt:lpwstr>
  </property>
  <property fmtid="{D5CDD505-2E9C-101B-9397-08002B2CF9AE}" pid="5" name="_AuthorEmail">
    <vt:lpwstr>Guillaume.Sebire@mediatek.com</vt:lpwstr>
  </property>
  <property fmtid="{D5CDD505-2E9C-101B-9397-08002B2CF9AE}" pid="6" name="_AuthorEmailDisplayName">
    <vt:lpwstr>Guillaume Sebire</vt:lpwstr>
  </property>
  <property fmtid="{D5CDD505-2E9C-101B-9397-08002B2CF9AE}" pid="7" name="_PreviousAdHocReviewCycleID">
    <vt:i4>240433540</vt:i4>
  </property>
  <property fmtid="{D5CDD505-2E9C-101B-9397-08002B2CF9AE}" pid="8" name="_ReviewingToolsShownOnce">
    <vt:lpwstr/>
  </property>
</Properties>
</file>